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3.jpeg" ContentType="image/jpeg"/>
  <Override PartName="/word/media/image2.jpeg" ContentType="image/jpeg"/>
  <Override PartName="/word/media/image1.jpeg" ContentType="image/jpe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На основу Одлуке Градског већ</w:t>
      </w:r>
      <w:r>
        <w:rPr>
          <w:szCs w:val="24"/>
          <w:lang w:val="sr-RS"/>
        </w:rPr>
        <w:t>а</w:t>
      </w:r>
      <w:r>
        <w:rPr>
          <w:szCs w:val="24"/>
        </w:rPr>
        <w:t xml:space="preserve"> града</w:t>
      </w:r>
      <w:r>
        <w:rPr>
          <w:szCs w:val="24"/>
          <w:lang w:val="sr-RS"/>
        </w:rPr>
        <w:t xml:space="preserve"> Пирота</w:t>
      </w:r>
      <w:r>
        <w:rPr>
          <w:szCs w:val="24"/>
        </w:rPr>
        <w:t xml:space="preserve"> о расписивању Јавног конкурса за учешће домаћинстава у спровођењу мер</w:t>
      </w:r>
      <w:r>
        <w:rPr>
          <w:szCs w:val="24"/>
          <w:lang w:val="sr-RS"/>
        </w:rPr>
        <w:t>а</w:t>
      </w:r>
      <w:r>
        <w:rPr>
          <w:szCs w:val="24"/>
        </w:rPr>
        <w:t xml:space="preserve"> енергетске санације </w:t>
      </w:r>
      <w:r>
        <w:rPr>
          <w:szCs w:val="24"/>
          <w:lang w:val="sr-RS"/>
        </w:rPr>
        <w:t xml:space="preserve">путем </w:t>
      </w:r>
      <w:r>
        <w:rPr>
          <w:szCs w:val="24"/>
        </w:rPr>
        <w:t xml:space="preserve">уградње соларних панела, </w:t>
      </w:r>
      <w:r>
        <w:rPr>
          <w:szCs w:val="24"/>
          <w:lang w:val="sr-RS"/>
        </w:rPr>
        <w:t>инвертера и пратеће инсталације</w:t>
      </w:r>
      <w:r>
        <w:rPr>
          <w:szCs w:val="24"/>
        </w:rPr>
        <w:t xml:space="preserve"> за производњу електричне енергије за сопствене потребе број </w:t>
      </w:r>
      <w:r>
        <w:rPr>
          <w:szCs w:val="24"/>
        </w:rPr>
        <w:t xml:space="preserve">II </w:t>
      </w:r>
      <w:r>
        <w:rPr>
          <w:szCs w:val="24"/>
          <w:lang w:val="sr-RS"/>
        </w:rPr>
        <w:t xml:space="preserve">06/102-22 </w:t>
      </w:r>
      <w:r>
        <w:rPr>
          <w:szCs w:val="24"/>
          <w:lang w:val="sr-RS"/>
        </w:rPr>
        <w:t>о</w:t>
      </w:r>
      <w:r>
        <w:rPr>
          <w:szCs w:val="24"/>
          <w:lang w:val="sr-RS"/>
        </w:rPr>
        <w:t>д 25.11.</w:t>
      </w:r>
      <w:r>
        <w:rPr>
          <w:szCs w:val="24"/>
          <w:lang w:val="sr-RS"/>
        </w:rPr>
        <w:t>2022</w:t>
      </w:r>
      <w:r>
        <w:rPr>
          <w:szCs w:val="24"/>
        </w:rPr>
        <w:t xml:space="preserve">. године и </w:t>
      </w:r>
      <w:r>
        <w:rPr>
          <w:szCs w:val="24"/>
          <w:lang w:val="sr-Cyrl-CS"/>
        </w:rPr>
        <w:t>П</w:t>
      </w:r>
      <w:r>
        <w:rPr>
          <w:szCs w:val="24"/>
        </w:rPr>
        <w:t>равилника о суфинансирању енергетске санације породичних кућа и станова путем уградње соларних панела за производњу електричне енергије за сопствене потребе и унапређење термотехничког система путем уградње калориметара, циркулационих пумпи,</w:t>
      </w:r>
      <w:r>
        <w:rPr>
          <w:szCs w:val="24"/>
          <w:lang w:val="sr-RS"/>
        </w:rPr>
        <w:t xml:space="preserve"> </w:t>
      </w:r>
      <w:r>
        <w:rPr>
          <w:szCs w:val="24"/>
        </w:rPr>
        <w:t>термостатских</w:t>
      </w:r>
      <w:r>
        <w:rPr>
          <w:szCs w:val="24"/>
          <w:lang w:val="sr-RS"/>
        </w:rPr>
        <w:t xml:space="preserve"> </w:t>
      </w:r>
      <w:r>
        <w:rPr>
          <w:szCs w:val="24"/>
        </w:rPr>
        <w:t>вентила и делитеља топлоте по основу јавног позива за суфинансирање програма енергетске санације стамбених зграда, породичних кућа и станова ЈП 1/22 („Службени лист града</w:t>
      </w:r>
      <w:r>
        <w:rPr>
          <w:szCs w:val="24"/>
          <w:lang w:val="sr-RS"/>
        </w:rPr>
        <w:t xml:space="preserve"> Ниша</w:t>
      </w:r>
      <w:r>
        <w:rPr>
          <w:szCs w:val="24"/>
        </w:rPr>
        <w:t xml:space="preserve">“ број </w:t>
      </w:r>
      <w:r>
        <w:rPr>
          <w:szCs w:val="24"/>
          <w:lang w:val="sr-RS"/>
        </w:rPr>
        <w:t>33/22</w:t>
      </w:r>
      <w:r>
        <w:rPr>
          <w:szCs w:val="24"/>
        </w:rPr>
        <w:t>), град</w:t>
      </w:r>
      <w:r>
        <w:rPr>
          <w:szCs w:val="24"/>
          <w:lang w:val="sr-RS"/>
        </w:rPr>
        <w:t xml:space="preserve"> Пирот дана </w:t>
      </w:r>
      <w:r>
        <w:rPr>
          <w:szCs w:val="24"/>
          <w:lang w:val="sr-RS"/>
        </w:rPr>
        <w:t xml:space="preserve">29.11.2022. године </w:t>
      </w:r>
      <w:r>
        <w:rPr>
          <w:szCs w:val="24"/>
          <w:lang w:val="sr-Cyrl-CS"/>
        </w:rPr>
        <w:t>расписује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b/>
          <w:bCs/>
          <w:sz w:val="26"/>
          <w:szCs w:val="26"/>
          <w:lang w:val="sr-Cyrl-CS"/>
        </w:rPr>
        <w:t>Ј</w:t>
      </w:r>
      <w:r>
        <w:rPr>
          <w:b/>
          <w:bCs/>
          <w:sz w:val="26"/>
          <w:szCs w:val="26"/>
        </w:rPr>
        <w:t>АВНИ КОНКУРС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b/>
          <w:bCs/>
          <w:sz w:val="26"/>
          <w:szCs w:val="26"/>
          <w:lang w:val="sr-RS"/>
        </w:rPr>
        <w:t xml:space="preserve">за учешће физичких лица (домаћинстава), </w:t>
      </w:r>
      <w:r>
        <w:rPr>
          <w:b/>
          <w:bCs/>
          <w:sz w:val="26"/>
          <w:szCs w:val="26"/>
        </w:rPr>
        <w:t xml:space="preserve">за суфинансирање </w:t>
      </w:r>
      <w:r>
        <w:rPr>
          <w:b/>
          <w:bCs/>
          <w:sz w:val="26"/>
          <w:szCs w:val="26"/>
          <w:lang w:val="sr-RS"/>
        </w:rPr>
        <w:t xml:space="preserve">мера енергетске санације породичних кућа путем </w:t>
      </w:r>
      <w:r>
        <w:rPr>
          <w:b/>
          <w:bCs/>
          <w:sz w:val="26"/>
          <w:szCs w:val="26"/>
        </w:rPr>
        <w:t xml:space="preserve">уградње соларних панела, </w:t>
      </w:r>
      <w:r>
        <w:rPr>
          <w:b/>
          <w:bCs/>
          <w:sz w:val="26"/>
          <w:szCs w:val="26"/>
          <w:lang w:val="sr-RS"/>
        </w:rPr>
        <w:t>инвертера и пратеће инсталације</w:t>
      </w:r>
      <w:r>
        <w:rPr>
          <w:b/>
          <w:bCs/>
          <w:sz w:val="26"/>
          <w:szCs w:val="26"/>
        </w:rPr>
        <w:t xml:space="preserve"> за производњу електричне енергије </w:t>
      </w:r>
      <w:r>
        <w:rPr>
          <w:b/>
          <w:bCs/>
          <w:sz w:val="26"/>
          <w:szCs w:val="26"/>
          <w:lang w:val="sr-RS"/>
        </w:rPr>
        <w:t xml:space="preserve">за сопствене потребе </w:t>
      </w:r>
      <w:r>
        <w:rPr>
          <w:b/>
          <w:bCs/>
          <w:sz w:val="26"/>
          <w:szCs w:val="26"/>
        </w:rPr>
        <w:t>на територији град</w:t>
      </w:r>
      <w:r>
        <w:rPr>
          <w:b/>
          <w:bCs/>
          <w:sz w:val="26"/>
          <w:szCs w:val="26"/>
          <w:lang w:val="sr-RS"/>
        </w:rPr>
        <w:t xml:space="preserve">а Пирота </w:t>
      </w:r>
      <w:r>
        <w:rPr>
          <w:b/>
          <w:bCs/>
          <w:sz w:val="26"/>
          <w:szCs w:val="26"/>
        </w:rPr>
        <w:t>за 202</w:t>
      </w:r>
      <w:r>
        <w:rPr>
          <w:b/>
          <w:bCs/>
          <w:sz w:val="26"/>
          <w:szCs w:val="26"/>
          <w:lang w:val="sr-Cyrl-CS"/>
        </w:rPr>
        <w:t>2</w:t>
      </w:r>
      <w:r>
        <w:rPr>
          <w:b/>
          <w:bCs/>
          <w:sz w:val="26"/>
          <w:szCs w:val="26"/>
        </w:rPr>
        <w:t>. годину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szCs w:val="24"/>
          <w:lang w:val="sr-Latn-CS"/>
        </w:rPr>
        <w:t xml:space="preserve">I </w:t>
      </w:r>
      <w:r>
        <w:rPr>
          <w:szCs w:val="24"/>
        </w:rPr>
        <w:t>ПРЕДМЕТ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</w:rPr>
        <w:t xml:space="preserve"> </w:t>
      </w:r>
      <w:r/>
    </w:p>
    <w:p>
      <w:pPr>
        <w:pStyle w:val="Normal"/>
        <w:spacing w:lineRule="auto" w:line="240" w:before="0" w:after="0"/>
      </w:pPr>
      <w:r>
        <w:rPr>
          <w:szCs w:val="24"/>
          <w:u w:val="single"/>
          <w:lang w:val="sr-Cyrl-CS"/>
        </w:rPr>
        <w:t>Предмет финансирања обухвата следеће:</w:t>
      </w:r>
      <w:r/>
    </w:p>
    <w:p>
      <w:pPr>
        <w:pStyle w:val="Normal"/>
        <w:spacing w:lineRule="auto" w:line="240" w:before="0" w:after="0"/>
        <w:rPr>
          <w:sz w:val="24"/>
          <w:u w:val="single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u w:val="single"/>
          <w:lang w:val="sr-Cyrl-CS" w:eastAsia="sr-Latn-RS" w:bidi="ar-SA"/>
        </w:rPr>
      </w:r>
      <w:r/>
    </w:p>
    <w:p>
      <w:pPr>
        <w:pStyle w:val="ListParagraph"/>
        <w:widowControl/>
        <w:bidi w:val="0"/>
        <w:spacing w:lineRule="auto" w:line="240" w:before="0" w:after="0"/>
        <w:ind w:left="720" w:right="0" w:hanging="0"/>
        <w:jc w:val="both"/>
      </w:pPr>
      <w:r>
        <w:rPr>
          <w:b/>
          <w:bCs/>
          <w:szCs w:val="24"/>
          <w:lang w:val="sr-RS"/>
        </w:rPr>
        <w:t xml:space="preserve">1) </w:t>
      </w:r>
      <w:r>
        <w:rPr>
          <w:b/>
          <w:bCs/>
          <w:szCs w:val="24"/>
          <w:lang w:val="sr-Cyrl-CS"/>
        </w:rPr>
        <w:t>набавку и уградњу соларних панела, инвертера и пратеће инсталације за</w:t>
      </w:r>
      <w:r>
        <w:rPr>
          <w:szCs w:val="24"/>
          <w:lang w:val="sr-Cyrl-CS"/>
        </w:rPr>
        <w:t xml:space="preserve"> </w:t>
      </w:r>
      <w:r>
        <w:rPr>
          <w:b/>
          <w:szCs w:val="24"/>
          <w:lang w:val="sr-Cyrl-CS"/>
        </w:rPr>
        <w:t>породичне куће</w:t>
      </w:r>
      <w:r>
        <w:rPr>
          <w:szCs w:val="24"/>
          <w:lang w:val="sr-Cyrl-CS"/>
        </w:rPr>
        <w:t xml:space="preserve"> за производњу електричне енергије за сопствене потребе, уградњу двосмерног мерног уређаја за мерење предате и примљене електричне енергије, и израду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</w:t>
      </w:r>
      <w:r>
        <w:rPr>
          <w:b/>
          <w:szCs w:val="24"/>
          <w:u w:val="single"/>
          <w:lang w:val="sr-Cyrl-CS"/>
        </w:rPr>
        <w:t>а максимално до и једнако 6 kW</w:t>
      </w:r>
      <w:r>
        <w:rPr>
          <w:szCs w:val="24"/>
          <w:lang w:val="sr-Cyrl-CS"/>
        </w:rPr>
        <w:t xml:space="preserve"> </w:t>
      </w:r>
      <w:r>
        <w:rPr>
          <w:szCs w:val="24"/>
          <w:shd w:fill="FFFFFF" w:val="clear"/>
          <w:lang w:val="sr-Cyrl-CS"/>
        </w:rPr>
        <w:t xml:space="preserve">и остале </w:t>
      </w:r>
      <w:r>
        <w:rPr>
          <w:szCs w:val="24"/>
          <w:shd w:fill="FFFFFF" w:val="clear"/>
          <w:lang w:val="sr-Latn-CS"/>
        </w:rPr>
        <w:t>неопходне инсталације за производњу електричне енергије</w:t>
      </w:r>
      <w:r>
        <w:rPr>
          <w:szCs w:val="24"/>
          <w:shd w:fill="FFFFFF" w:val="clear"/>
          <w:lang w:val="sr-Cyrl-CS"/>
        </w:rPr>
        <w:t xml:space="preserve"> и прикључење на дистрибутивни систем у складу са Прилогом 4 из Јавног позива.</w:t>
      </w:r>
      <w:r/>
    </w:p>
    <w:p>
      <w:pPr>
        <w:pStyle w:val="Normal"/>
        <w:spacing w:lineRule="auto" w:line="240" w:before="0" w:after="0"/>
      </w:pPr>
      <w:r>
        <w:rPr>
          <w:szCs w:val="24"/>
        </w:rPr>
        <w:tab/>
        <w:tab/>
      </w:r>
      <w:r/>
    </w:p>
    <w:p>
      <w:pPr>
        <w:pStyle w:val="Normal"/>
        <w:spacing w:lineRule="auto" w:line="240" w:before="0" w:after="0"/>
      </w:pPr>
      <w:r>
        <w:rPr>
          <w:bCs/>
          <w:szCs w:val="24"/>
          <w:lang w:val="sr-RS"/>
        </w:rPr>
        <w:tab/>
        <w:tab/>
        <w:t>Укупан износ средстава подстицаја која путем овог конкурса додељују Град Пирот и Управа за подстицање и унапређење енергетске ефикасности Републике Србије износи</w:t>
      </w:r>
      <w:r>
        <w:rPr>
          <w:bCs/>
          <w:szCs w:val="24"/>
          <w:lang w:val="sr-Cyrl-CS"/>
        </w:rPr>
        <w:t xml:space="preserve"> </w:t>
      </w:r>
      <w:r>
        <w:rPr>
          <w:bCs/>
          <w:szCs w:val="24"/>
          <w:lang w:val="sr-RS"/>
        </w:rPr>
        <w:t>6 милиона динара.</w:t>
      </w:r>
      <w:r/>
    </w:p>
    <w:p>
      <w:pPr>
        <w:pStyle w:val="Normal"/>
        <w:spacing w:lineRule="auto" w:line="252" w:before="0" w:after="160"/>
        <w:ind w:left="0" w:hanging="0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bCs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52" w:before="0" w:after="160"/>
        <w:ind w:left="0" w:hanging="0"/>
        <w:jc w:val="center"/>
      </w:pPr>
      <w:r>
        <w:rPr>
          <w:bCs/>
          <w:szCs w:val="24"/>
        </w:rPr>
        <w:t>II</w:t>
      </w:r>
      <w:r>
        <w:rPr>
          <w:bCs/>
          <w:szCs w:val="24"/>
          <w:lang w:val="ru-RU"/>
        </w:rPr>
        <w:t xml:space="preserve"> </w:t>
      </w:r>
      <w:r>
        <w:rPr>
          <w:bCs/>
          <w:szCs w:val="24"/>
          <w:lang w:val="sr-RS"/>
        </w:rPr>
        <w:t>КОРИСНИЦИ</w:t>
      </w:r>
      <w:r>
        <w:rPr>
          <w:bCs/>
          <w:szCs w:val="24"/>
          <w:lang w:val="ru-RU"/>
        </w:rPr>
        <w:t xml:space="preserve"> </w:t>
      </w:r>
      <w:r>
        <w:rPr>
          <w:bCs/>
          <w:szCs w:val="24"/>
          <w:lang w:val="sr-RS"/>
        </w:rPr>
        <w:t>СРЕДСТАВА</w:t>
      </w:r>
      <w:r/>
    </w:p>
    <w:p>
      <w:pPr>
        <w:pStyle w:val="Normal"/>
        <w:spacing w:lineRule="auto" w:line="240" w:before="0" w:after="0"/>
        <w:ind w:left="0" w:hanging="0"/>
        <w:rPr>
          <w:szCs w:val="24"/>
          <w:lang w:val="sr-Cyrl-CS"/>
        </w:rPr>
      </w:pPr>
      <w:r>
        <w:rPr>
          <w:szCs w:val="24"/>
          <w:lang w:val="en-US"/>
        </w:rPr>
        <w:tab/>
        <w:t>Kорисници бесповратних средстава су домаћинства</w:t>
      </w:r>
      <w:r>
        <w:rPr>
          <w:szCs w:val="24"/>
          <w:lang w:val="sr-Cyrl-CS"/>
        </w:rPr>
        <w:t xml:space="preserve"> изузев: 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ListParagraph"/>
        <w:numPr>
          <w:ilvl w:val="0"/>
          <w:numId w:val="2"/>
        </w:numPr>
        <w:spacing w:lineRule="auto" w:line="252" w:before="0" w:after="0"/>
        <w:rPr>
          <w:szCs w:val="24"/>
          <w:lang w:val="sr-Cyrl-CS"/>
        </w:rPr>
      </w:pPr>
      <w:r>
        <w:rPr>
          <w:szCs w:val="24"/>
          <w:lang w:val="sr-Cyrl-CS"/>
        </w:rPr>
        <w:t>власника посебних делова стамбено-пословног објеката који не служе за становање;</w:t>
      </w:r>
      <w:r/>
    </w:p>
    <w:p>
      <w:pPr>
        <w:pStyle w:val="ListParagraph"/>
        <w:numPr>
          <w:ilvl w:val="0"/>
          <w:numId w:val="2"/>
        </w:numPr>
        <w:spacing w:lineRule="auto" w:line="252" w:before="0" w:after="0"/>
        <w:rPr>
          <w:szCs w:val="24"/>
          <w:lang w:val="sr-Cyrl-CS"/>
        </w:rPr>
      </w:pPr>
      <w:r>
        <w:rPr>
          <w:szCs w:val="24"/>
          <w:lang w:val="sr-Cyrl-CS"/>
        </w:rPr>
        <w:t xml:space="preserve">власника стамбених објеката који су у претходне две године после достављања Решења о додели бесповратних средстава за сличне активности одустали од спровођења активности. 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en-U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en-U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en-U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en-U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  <w:lang w:val="en-US"/>
        </w:rPr>
        <w:t>I</w:t>
      </w:r>
      <w:r>
        <w:rPr>
          <w:szCs w:val="24"/>
          <w:lang w:val="sr-Latn-CS"/>
        </w:rPr>
        <w:t>I</w:t>
      </w:r>
      <w:r>
        <w:rPr>
          <w:szCs w:val="24"/>
          <w:lang w:val="en-US"/>
        </w:rPr>
        <w:t xml:space="preserve">I </w:t>
      </w:r>
      <w:r>
        <w:rPr>
          <w:szCs w:val="24"/>
        </w:rPr>
        <w:t>УСЛОВИ ПРИЈАВЕ НА КОНКУРС</w:t>
      </w:r>
      <w:r/>
    </w:p>
    <w:p>
      <w:pPr>
        <w:pStyle w:val="Normal"/>
        <w:spacing w:lineRule="auto" w:line="240" w:before="0" w:after="0"/>
        <w:ind w:left="0" w:firstLine="36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360"/>
        <w:jc w:val="left"/>
        <w:rPr>
          <w:szCs w:val="24"/>
        </w:rPr>
      </w:pPr>
      <w:r>
        <w:rPr>
          <w:szCs w:val="24"/>
        </w:rPr>
        <w:tab/>
        <w:t xml:space="preserve">Право учешћа на конкурсу имају </w:t>
      </w:r>
      <w:r>
        <w:rPr>
          <w:szCs w:val="24"/>
          <w:lang w:val="sr-Cyrl-CS"/>
        </w:rPr>
        <w:t>домаћинства</w:t>
      </w:r>
      <w:r>
        <w:rPr>
          <w:szCs w:val="24"/>
        </w:rPr>
        <w:t xml:space="preserve"> која испуњавају следеће услове: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numPr>
          <w:ilvl w:val="0"/>
          <w:numId w:val="7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 xml:space="preserve">да </w:t>
      </w:r>
      <w:r>
        <w:rPr>
          <w:szCs w:val="24"/>
          <w:lang w:val="sr-RS"/>
        </w:rPr>
        <w:t>је</w:t>
      </w:r>
      <w:r>
        <w:rPr>
          <w:szCs w:val="24"/>
        </w:rPr>
        <w:t xml:space="preserve"> подносилац пријаве</w:t>
      </w:r>
      <w:r>
        <w:rPr>
          <w:szCs w:val="24"/>
          <w:lang w:val="sr-RS"/>
        </w:rPr>
        <w:t>:</w:t>
      </w:r>
      <w:r/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240" w:before="0" w:after="0"/>
        <w:ind w:left="360" w:right="0" w:hanging="0"/>
        <w:jc w:val="both"/>
        <w:rPr>
          <w:szCs w:val="24"/>
        </w:rPr>
      </w:pPr>
      <w:r>
        <w:rPr>
          <w:szCs w:val="24"/>
        </w:rPr>
        <w:t>(1) власник објекта за који подноси пријаву и да је подносилац пријаве власник или</w:t>
      </w:r>
      <w:r>
        <w:rPr>
          <w:szCs w:val="24"/>
          <w:lang w:val="sr-RS"/>
        </w:rPr>
        <w:t xml:space="preserve"> </w:t>
      </w:r>
      <w:r>
        <w:rPr>
          <w:szCs w:val="24"/>
        </w:rPr>
        <w:t>носилац права над бројилом, или</w:t>
      </w:r>
      <w:r/>
    </w:p>
    <w:p>
      <w:pPr>
        <w:pStyle w:val="Normal"/>
        <w:widowControl/>
        <w:numPr>
          <w:ilvl w:val="0"/>
          <w:numId w:val="0"/>
        </w:numPr>
        <w:bidi w:val="0"/>
        <w:spacing w:lineRule="auto" w:line="240" w:before="0" w:after="0"/>
        <w:ind w:left="360" w:right="0" w:hanging="449"/>
        <w:jc w:val="both"/>
      </w:pPr>
      <w:r>
        <w:rPr>
          <w:szCs w:val="24"/>
        </w:rPr>
        <w:t xml:space="preserve">    </w:t>
      </w:r>
      <w:r>
        <w:rPr>
          <w:szCs w:val="24"/>
        </w:rPr>
        <w:t>(2) уколико подносилац пријаве није власник објекта за који се подноси пријава, неопходно је да има пријаву боравка на адреси објекта за који подноси пријаву и уз пријаву да поднесе писану сагласност власника објекта оверену од стране јавног бележника</w:t>
      </w:r>
      <w:r>
        <w:rPr>
          <w:szCs w:val="24"/>
          <w:lang w:val="sr-RS"/>
        </w:rPr>
        <w:t xml:space="preserve"> да се за објекат може поднети пријава;</w:t>
      </w:r>
      <w:r/>
    </w:p>
    <w:p>
      <w:pPr>
        <w:pStyle w:val="Normal"/>
        <w:numPr>
          <w:ilvl w:val="0"/>
          <w:numId w:val="7"/>
        </w:numPr>
        <w:spacing w:lineRule="auto" w:line="240" w:before="0" w:after="0"/>
        <w:jc w:val="both"/>
      </w:pPr>
      <w:r>
        <w:rPr>
          <w:szCs w:val="24"/>
          <w:lang w:val="sr-Cyrl-CS"/>
        </w:rPr>
        <w:t>да је прикључен на дистрибутивну мрежу</w:t>
      </w:r>
      <w:r>
        <w:rPr>
          <w:szCs w:val="24"/>
          <w:lang w:val="en-US"/>
        </w:rPr>
        <w:t xml:space="preserve"> </w:t>
      </w:r>
      <w:r>
        <w:rPr>
          <w:szCs w:val="24"/>
          <w:lang w:val="sr-Cyrl-CS"/>
        </w:rPr>
        <w:t xml:space="preserve">електричне енергије и да је на последњем рачуну за потрошњу електричне енергије регистрована потрошња од минимум 30 </w:t>
      </w:r>
      <w:r>
        <w:rPr>
          <w:szCs w:val="24"/>
          <w:lang w:val="sr-Latn-CS"/>
        </w:rPr>
        <w:t>kWh;</w:t>
      </w:r>
      <w:r/>
    </w:p>
    <w:p>
      <w:pPr>
        <w:pStyle w:val="Normal"/>
        <w:numPr>
          <w:ilvl w:val="0"/>
          <w:numId w:val="7"/>
        </w:numPr>
        <w:spacing w:lineRule="auto" w:line="240" w:before="0" w:after="0"/>
        <w:jc w:val="both"/>
      </w:pPr>
      <w:r>
        <w:rPr>
          <w:szCs w:val="24"/>
          <w:lang w:val="sr-RS"/>
        </w:rPr>
        <w:t>да је измирио пореске обавезе за предметни објекат на коме се уграђује опрема, закључно са  2022- ом годином.</w:t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ind w:left="61" w:hanging="3"/>
        <w:jc w:val="both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hanging="0"/>
        <w:jc w:val="both"/>
      </w:pPr>
      <w:r>
        <w:rPr>
          <w:szCs w:val="24"/>
        </w:rPr>
        <w:t xml:space="preserve">      </w:t>
      </w:r>
      <w:r>
        <w:rPr>
          <w:szCs w:val="24"/>
          <w:lang w:val="sr-Cyrl-CS"/>
        </w:rPr>
        <w:t xml:space="preserve">Уколико има више од једног власника породичне куће, потребно је доставити </w:t>
      </w:r>
      <w:r>
        <w:rPr>
          <w:szCs w:val="24"/>
          <w:lang w:val="sr-RS"/>
        </w:rPr>
        <w:t>писану</w:t>
      </w:r>
      <w:r>
        <w:rPr>
          <w:szCs w:val="24"/>
          <w:lang w:val="sr-Cyrl-CS"/>
        </w:rPr>
        <w:t xml:space="preserve"> сагласност осталих власника </w:t>
      </w:r>
      <w:r>
        <w:rPr>
          <w:szCs w:val="24"/>
          <w:lang w:val="sr-RS"/>
        </w:rPr>
        <w:t>оверену од стране јавног бележника</w:t>
      </w:r>
      <w:r>
        <w:rPr>
          <w:szCs w:val="24"/>
          <w:lang w:val="sr-Cyrl-CS"/>
        </w:rPr>
        <w:t>.</w:t>
      </w:r>
      <w:r/>
    </w:p>
    <w:p>
      <w:pPr>
        <w:pStyle w:val="Normal"/>
        <w:widowControl/>
        <w:tabs>
          <w:tab w:val="left" w:pos="450" w:leader="none"/>
        </w:tabs>
        <w:bidi w:val="0"/>
        <w:spacing w:lineRule="auto" w:line="240" w:before="0" w:after="0"/>
        <w:ind w:left="0" w:right="0" w:hanging="0"/>
        <w:jc w:val="both"/>
      </w:pPr>
      <w:r>
        <w:rPr>
          <w:szCs w:val="24"/>
          <w:lang w:val="sr-Cyrl-CS"/>
        </w:rPr>
        <w:tab/>
        <w:t xml:space="preserve">   </w:t>
      </w:r>
      <w:r>
        <w:rPr>
          <w:color w:val="00000A"/>
          <w:szCs w:val="24"/>
          <w:lang w:val="sr-Cyrl-CS"/>
        </w:rPr>
        <w:t xml:space="preserve">Уколико подносилац пријаве није власник породичне куће, потребно је доставити </w:t>
      </w:r>
      <w:r>
        <w:rPr>
          <w:color w:val="00000A"/>
          <w:szCs w:val="24"/>
          <w:lang w:val="sr-RS"/>
        </w:rPr>
        <w:t xml:space="preserve">писану </w:t>
      </w:r>
      <w:r>
        <w:rPr>
          <w:color w:val="00000A"/>
          <w:szCs w:val="24"/>
          <w:lang w:val="sr-Cyrl-CS"/>
        </w:rPr>
        <w:t xml:space="preserve">сагласност власника </w:t>
      </w:r>
      <w:r>
        <w:rPr>
          <w:color w:val="00000A"/>
          <w:szCs w:val="24"/>
          <w:lang w:val="sr-RS"/>
        </w:rPr>
        <w:t>оверену од стране јавног бележника</w:t>
      </w:r>
      <w:r>
        <w:rPr>
          <w:color w:val="00000A"/>
          <w:szCs w:val="24"/>
          <w:lang w:val="sr-Cyrl-CS"/>
        </w:rPr>
        <w:t>.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  <w:lang w:val="sr-Cyrl-CS"/>
        </w:rPr>
      </w:pPr>
      <w:r>
        <w:rPr>
          <w:szCs w:val="24"/>
        </w:rPr>
        <w:t>IV МАКСИМАЛНА ВИСИНА СРЕДСТАВА СУФИНАНСИРАЊА</w:t>
      </w:r>
      <w:r>
        <w:rPr>
          <w:szCs w:val="24"/>
          <w:lang w:val="sr-Cyrl-CS"/>
        </w:rPr>
        <w:t xml:space="preserve"> 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widowControl/>
        <w:bidi w:val="0"/>
        <w:spacing w:lineRule="auto" w:line="240" w:before="0" w:after="0"/>
        <w:ind w:left="89" w:right="0" w:firstLine="269"/>
        <w:jc w:val="both"/>
      </w:pPr>
      <w:r>
        <w:rPr>
          <w:rStyle w:val="Markedcontent"/>
          <w:lang w:val="sr-Cyrl-CS"/>
        </w:rPr>
        <w:t xml:space="preserve">   </w:t>
      </w:r>
      <w:r>
        <w:rPr>
          <w:rStyle w:val="Markedcontent"/>
          <w:lang w:val="sr-Cyrl-CS"/>
        </w:rPr>
        <w:t>Максимални износ средстава подстицаја који се додељује представљаће мањи износ од:</w:t>
      </w:r>
      <w:r/>
    </w:p>
    <w:p>
      <w:pPr>
        <w:pStyle w:val="Normal"/>
        <w:widowControl/>
        <w:bidi w:val="0"/>
        <w:spacing w:lineRule="auto" w:line="240" w:before="0" w:after="0"/>
        <w:ind w:left="89" w:right="0" w:hanging="0"/>
        <w:jc w:val="both"/>
      </w:pPr>
      <w:r>
        <w:rPr>
          <w:rStyle w:val="Markedcontent"/>
          <w:lang w:val="sr-Cyrl-CS"/>
        </w:rPr>
        <w:t>- 50% од вредности укупне инвестиције са ПДВ ом, а максимално 420.000 динара са ПДВ-ом, и</w:t>
      </w:r>
      <w:r/>
    </w:p>
    <w:p>
      <w:pPr>
        <w:pStyle w:val="Normal"/>
        <w:widowControl/>
        <w:bidi w:val="0"/>
        <w:spacing w:lineRule="auto" w:line="240" w:before="0" w:after="0"/>
        <w:ind w:left="89" w:right="0" w:hanging="0"/>
        <w:jc w:val="both"/>
      </w:pPr>
      <w:r>
        <w:rPr>
          <w:rStyle w:val="Markedcontent"/>
          <w:lang w:val="sr-Cyrl-CS"/>
        </w:rPr>
        <w:t>- износа који се добија множењем снаге у kW соларних панела из достављене профактуре, са  износом од 70.000 динара са ПДВ-ом.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</w:rPr>
        <w:t>V НЕПРИХВАТЉИВИ ТРОШКОВИ</w:t>
      </w:r>
      <w:r/>
    </w:p>
    <w:p>
      <w:pPr>
        <w:pStyle w:val="Normal"/>
        <w:spacing w:lineRule="auto" w:line="240" w:before="0" w:after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rPr>
          <w:szCs w:val="24"/>
          <w:lang w:val="sr-Cyrl-CS"/>
        </w:rPr>
      </w:pPr>
      <w:r>
        <w:rPr>
          <w:szCs w:val="24"/>
          <w:lang w:val="sr-Cyrl-CS"/>
        </w:rPr>
        <w:tab/>
        <w:t>У неприхватљиве трошкове спадају:</w:t>
      </w:r>
      <w:r/>
    </w:p>
    <w:p>
      <w:pPr>
        <w:pStyle w:val="Normal"/>
        <w:numPr>
          <w:ilvl w:val="0"/>
          <w:numId w:val="0"/>
        </w:numPr>
        <w:spacing w:lineRule="auto" w:line="240" w:before="0" w:after="0"/>
        <w:ind w:left="61" w:hanging="3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Normal"/>
        <w:numPr>
          <w:ilvl w:val="0"/>
          <w:numId w:val="8"/>
        </w:numPr>
        <w:spacing w:lineRule="auto" w:line="240" w:before="0" w:after="0"/>
      </w:pPr>
      <w:r>
        <w:rPr>
          <w:szCs w:val="24"/>
        </w:rPr>
        <w:t xml:space="preserve">рефундацијa трошкова за већ набављену опрему и извршене услуге (плаћене или испоручене), односно, не прихватају се трошкови радова, набавке материјала и опреме који настану пре првог обиласка Комисије за преглед и оцену поднетих захтева за суфинансирање пројеката енергетске </w:t>
      </w:r>
      <w:r>
        <w:rPr>
          <w:szCs w:val="24"/>
          <w:lang w:val="sr-RS"/>
        </w:rPr>
        <w:t>санације</w:t>
      </w:r>
      <w:r>
        <w:rPr>
          <w:szCs w:val="24"/>
          <w:lang w:val="sr-Cyrl-CS"/>
        </w:rPr>
        <w:t>;</w:t>
      </w:r>
      <w:r/>
    </w:p>
    <w:p>
      <w:pPr>
        <w:pStyle w:val="ListParagraph"/>
        <w:numPr>
          <w:ilvl w:val="0"/>
          <w:numId w:val="8"/>
        </w:numPr>
        <w:spacing w:lineRule="auto" w:line="240" w:before="0" w:after="0"/>
      </w:pPr>
      <w:r>
        <w:rPr>
          <w:szCs w:val="24"/>
        </w:rPr>
        <w:t xml:space="preserve">трошкови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</w:t>
      </w:r>
      <w:r>
        <w:rPr>
          <w:szCs w:val="24"/>
          <w:lang w:val="sr-RS"/>
        </w:rPr>
        <w:t>и сл.;</w:t>
      </w:r>
      <w:r/>
    </w:p>
    <w:p>
      <w:pPr>
        <w:pStyle w:val="Normal"/>
        <w:numPr>
          <w:ilvl w:val="0"/>
          <w:numId w:val="8"/>
        </w:numPr>
        <w:spacing w:lineRule="auto" w:line="240" w:before="0" w:after="0"/>
        <w:rPr>
          <w:szCs w:val="24"/>
        </w:rPr>
      </w:pPr>
      <w:r>
        <w:rPr>
          <w:szCs w:val="24"/>
        </w:rPr>
        <w:t>набавка опреме коју подносилац захтева за бесповратна средства сам производи или за услуге које подносилац захтева сам извршава</w:t>
      </w:r>
      <w:r>
        <w:rPr>
          <w:szCs w:val="24"/>
          <w:lang w:val="sr-Cyrl-CS"/>
        </w:rPr>
        <w:t>;</w:t>
      </w:r>
      <w:r/>
    </w:p>
    <w:p>
      <w:pPr>
        <w:pStyle w:val="Normal"/>
        <w:numPr>
          <w:ilvl w:val="0"/>
          <w:numId w:val="8"/>
        </w:numPr>
        <w:spacing w:lineRule="auto" w:line="240" w:before="0" w:after="0"/>
      </w:pPr>
      <w:r>
        <w:rPr>
          <w:szCs w:val="24"/>
        </w:rPr>
        <w:t>други трошков</w:t>
      </w:r>
      <w:r>
        <w:rPr>
          <w:szCs w:val="24"/>
          <w:lang w:val="sr-RS"/>
        </w:rPr>
        <w:t>и</w:t>
      </w:r>
      <w:r>
        <w:rPr>
          <w:szCs w:val="24"/>
        </w:rPr>
        <w:t xml:space="preserve"> који нису у складу са мерама енергетске санације.</w:t>
      </w:r>
      <w:r/>
    </w:p>
    <w:p>
      <w:pPr>
        <w:pStyle w:val="Normal"/>
        <w:spacing w:lineRule="auto" w:line="240" w:before="0" w:after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2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szCs w:val="24"/>
        </w:rPr>
        <w:t>VI ОБАВЕЗНА ДОКУМЕНТАЦИЈА УЗ ПРИЈАВУ НА ЈАВНИ ПОЗИВ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708"/>
        <w:jc w:val="left"/>
      </w:pPr>
      <w:r>
        <w:rPr>
          <w:szCs w:val="24"/>
          <w:lang w:val="sr-Cyrl-CS"/>
        </w:rPr>
        <w:t>П</w:t>
      </w:r>
      <w:r>
        <w:rPr>
          <w:szCs w:val="24"/>
        </w:rPr>
        <w:t>ријава мора да садржи:</w:t>
      </w:r>
      <w:r/>
    </w:p>
    <w:p>
      <w:pPr>
        <w:pStyle w:val="Normal"/>
        <w:spacing w:lineRule="auto" w:line="240" w:before="0" w:after="0"/>
        <w:ind w:left="0" w:firstLine="708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</w:rPr>
        <w:t xml:space="preserve">потписан и попуњен Пријавни образац (Прилог 1) за суфинасирање мера енергетске </w:t>
      </w:r>
      <w:r>
        <w:rPr>
          <w:szCs w:val="24"/>
          <w:lang w:val="sr-RS"/>
        </w:rPr>
        <w:t>санације</w:t>
      </w:r>
      <w:r>
        <w:rPr>
          <w:szCs w:val="24"/>
        </w:rPr>
        <w:t>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left"/>
      </w:pPr>
      <w:r>
        <w:rPr>
          <w:szCs w:val="24"/>
        </w:rPr>
        <w:t>један од следећих доказа за стамбени објекат</w:t>
      </w:r>
      <w:r>
        <w:rPr>
          <w:szCs w:val="24"/>
          <w:shd w:fill="FFFFFF" w:val="clear"/>
        </w:rPr>
        <w:t xml:space="preserve"> </w:t>
      </w:r>
      <w:r>
        <w:rPr>
          <w:szCs w:val="24"/>
          <w:shd w:fill="FFFFFF" w:val="clear"/>
          <w:lang w:val="sr-RS"/>
        </w:rPr>
        <w:t>(фотокопију)</w:t>
      </w:r>
      <w:r>
        <w:rPr>
          <w:szCs w:val="24"/>
          <w:shd w:fill="FFFFFF" w:val="clear"/>
        </w:rPr>
        <w:t>: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>доказ о изградњи објекта пре доношења прописа о изградњи,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>грађевинску дозволу добијену кроз редован поступак обезбеђења дозволе,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>грађевинску дозволу добијену из поступка легализације,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0"/>
        <w:jc w:val="left"/>
      </w:pPr>
      <w:r>
        <w:rPr>
          <w:szCs w:val="24"/>
        </w:rPr>
        <w:t>решење о озакоњењу или</w:t>
      </w:r>
      <w:r>
        <w:rPr>
          <w:szCs w:val="24"/>
          <w:lang w:val="sr-Cyrl-CS"/>
        </w:rPr>
        <w:t xml:space="preserve"> </w:t>
      </w:r>
      <w:r>
        <w:rPr>
          <w:szCs w:val="24"/>
        </w:rPr>
        <w:t xml:space="preserve">доказ да </w:t>
      </w:r>
      <w:r>
        <w:rPr>
          <w:szCs w:val="24"/>
          <w:lang w:val="sr-RS"/>
        </w:rPr>
        <w:t>је покренут</w:t>
      </w:r>
      <w:r>
        <w:rPr>
          <w:szCs w:val="24"/>
        </w:rPr>
        <w:t xml:space="preserve"> поступак легализације</w:t>
      </w:r>
      <w:r>
        <w:rPr>
          <w:szCs w:val="24"/>
          <w:lang w:val="sr-RS"/>
        </w:rPr>
        <w:t>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</w:rPr>
        <w:t>изјав</w:t>
      </w:r>
      <w:r>
        <w:rPr>
          <w:szCs w:val="24"/>
          <w:lang w:val="sr-RS"/>
        </w:rPr>
        <w:t>у</w:t>
      </w:r>
      <w:r>
        <w:rPr>
          <w:szCs w:val="24"/>
        </w:rPr>
        <w:t xml:space="preserve"> о члановима домаћинства </w:t>
      </w:r>
      <w:r>
        <w:rPr>
          <w:szCs w:val="24"/>
          <w:lang w:val="sr-RS"/>
        </w:rPr>
        <w:t xml:space="preserve">(Прилог 10) </w:t>
      </w:r>
      <w:r>
        <w:rPr>
          <w:szCs w:val="24"/>
        </w:rPr>
        <w:t>са фотокопиј</w:t>
      </w:r>
      <w:r>
        <w:rPr>
          <w:szCs w:val="24"/>
          <w:lang w:val="sr-RS"/>
        </w:rPr>
        <w:t>ама</w:t>
      </w:r>
      <w:r>
        <w:rPr>
          <w:szCs w:val="24"/>
        </w:rPr>
        <w:t xml:space="preserve"> личних карата за сваког члана домаћинства са јасно видљивом адресом </w:t>
      </w:r>
      <w:r>
        <w:rPr>
          <w:szCs w:val="24"/>
          <w:lang w:val="sr-RS"/>
        </w:rPr>
        <w:t xml:space="preserve">становања. </w:t>
      </w:r>
      <w:r>
        <w:rPr>
          <w:szCs w:val="24"/>
          <w:shd w:fill="FFFFFF" w:val="clear"/>
        </w:rPr>
        <w:t>За малолетн</w:t>
      </w:r>
      <w:r>
        <w:rPr>
          <w:szCs w:val="24"/>
          <w:shd w:fill="FFFFFF" w:val="clear"/>
          <w:lang w:val="sr-RS"/>
        </w:rPr>
        <w:t>а</w:t>
      </w:r>
      <w:r>
        <w:rPr>
          <w:szCs w:val="24"/>
          <w:shd w:fill="FFFFFF" w:val="clear"/>
        </w:rPr>
        <w:t xml:space="preserve"> лица доставити фотокопије здравствених књижица;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</w:rPr>
        <w:t>предрачун (профактур</w:t>
      </w:r>
      <w:r>
        <w:rPr>
          <w:szCs w:val="24"/>
          <w:lang w:val="sr-RS"/>
        </w:rPr>
        <w:t>у</w:t>
      </w:r>
      <w:r>
        <w:rPr>
          <w:szCs w:val="24"/>
        </w:rPr>
        <w:t>) са количином и ценом за опрему наведену у одељку I Јавног позива са уградњом, коју грађанин добија од једног од привредних субјеката (извођача радова) са листе (Прилог 2) коју је објави</w:t>
      </w:r>
      <w:r>
        <w:rPr>
          <w:szCs w:val="24"/>
          <w:lang w:val="sr-RS"/>
        </w:rPr>
        <w:t>о Град,</w:t>
      </w:r>
      <w:r>
        <w:rPr>
          <w:szCs w:val="24"/>
        </w:rPr>
        <w:t xml:space="preserve"> ко</w:t>
      </w:r>
      <w:r>
        <w:rPr>
          <w:szCs w:val="24"/>
          <w:lang w:val="sr-RS"/>
        </w:rPr>
        <w:t>га</w:t>
      </w:r>
      <w:r>
        <w:rPr>
          <w:szCs w:val="24"/>
        </w:rPr>
        <w:t xml:space="preserve"> грађанин изабере са листе;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</w:rPr>
        <w:t>фотокопију рачуна за утрошену електричну енергију за стамбени објекат за који се конкурише, за један од претходних месеци;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  <w:lang w:val="sr-RS"/>
        </w:rPr>
        <w:t>уколико постоји више власника на објекту, потребно је доставити сагласност осталих власника (Прилог 9);</w:t>
      </w:r>
      <w:r/>
    </w:p>
    <w:p>
      <w:pPr>
        <w:pStyle w:val="Normal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  <w:lang w:val="sr-RS"/>
        </w:rPr>
        <w:t>у</w:t>
      </w:r>
      <w:r>
        <w:rPr>
          <w:szCs w:val="24"/>
        </w:rPr>
        <w:t xml:space="preserve">колико подносилац пријаве није власник породичне куће, потребно је доставити сагласност власника </w:t>
      </w:r>
      <w:r>
        <w:rPr>
          <w:szCs w:val="24"/>
          <w:lang w:val="sr-Latn-CS"/>
        </w:rPr>
        <w:t>(</w:t>
      </w:r>
      <w:r>
        <w:rPr>
          <w:szCs w:val="24"/>
          <w:lang w:val="sr-Cyrl-CS"/>
        </w:rPr>
        <w:t>Прилог 9);</w:t>
      </w:r>
      <w:r/>
    </w:p>
    <w:p>
      <w:pPr>
        <w:pStyle w:val="ListParagraph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  <w:lang w:val="sr-RS"/>
        </w:rPr>
        <w:t>у</w:t>
      </w:r>
      <w:r>
        <w:rPr>
          <w:szCs w:val="24"/>
          <w:lang w:val="sr-Cyrl-CS"/>
        </w:rPr>
        <w:t>колико у породичној кући постоји више од једног бројила онда је потребна сагласност свих лица кој</w:t>
      </w:r>
      <w:r>
        <w:rPr>
          <w:szCs w:val="24"/>
          <w:lang w:val="sr-RS"/>
        </w:rPr>
        <w:t>а</w:t>
      </w:r>
      <w:r>
        <w:rPr>
          <w:szCs w:val="24"/>
          <w:lang w:val="sr-Cyrl-CS"/>
        </w:rPr>
        <w:t xml:space="preserve"> су власници осталих бројила </w:t>
      </w:r>
      <w:r>
        <w:rPr>
          <w:szCs w:val="24"/>
          <w:lang w:val="sr-Latn-CS"/>
        </w:rPr>
        <w:t>(</w:t>
      </w:r>
      <w:r>
        <w:rPr>
          <w:szCs w:val="24"/>
          <w:lang w:val="sr-Cyrl-CS"/>
        </w:rPr>
        <w:t>Прилог 9);</w:t>
      </w:r>
      <w:r/>
    </w:p>
    <w:p>
      <w:pPr>
        <w:pStyle w:val="ListParagraph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  <w:lang w:val="sr-RS"/>
        </w:rPr>
        <w:t>и</w:t>
      </w:r>
      <w:r>
        <w:rPr>
          <w:szCs w:val="24"/>
          <w:lang w:val="sr-Cyrl-CS"/>
        </w:rPr>
        <w:t>зјав</w:t>
      </w:r>
      <w:r>
        <w:rPr>
          <w:szCs w:val="24"/>
          <w:lang w:val="sr-RS"/>
        </w:rPr>
        <w:t>у</w:t>
      </w:r>
      <w:r>
        <w:rPr>
          <w:szCs w:val="24"/>
          <w:lang w:val="sr-Cyrl-CS"/>
        </w:rPr>
        <w:t xml:space="preserve"> да </w:t>
      </w:r>
      <w:r>
        <w:rPr>
          <w:szCs w:val="24"/>
          <w:lang w:val="sr-RS"/>
        </w:rPr>
        <w:t>Г</w:t>
      </w:r>
      <w:r>
        <w:rPr>
          <w:szCs w:val="24"/>
          <w:lang w:val="sr-Cyrl-CS"/>
        </w:rPr>
        <w:t>рад може да прибави за грађанина из катастра потврду о власништву (Прилог 8);</w:t>
      </w:r>
      <w:r/>
    </w:p>
    <w:p>
      <w:pPr>
        <w:pStyle w:val="ListParagraph"/>
        <w:numPr>
          <w:ilvl w:val="0"/>
          <w:numId w:val="3"/>
        </w:numPr>
        <w:spacing w:lineRule="auto" w:line="240" w:before="0" w:after="0"/>
        <w:jc w:val="both"/>
      </w:pPr>
      <w:r>
        <w:rPr>
          <w:szCs w:val="24"/>
          <w:lang w:val="sr-RS"/>
        </w:rPr>
        <w:t>копију пореског решења за 2022. годину.</w:t>
      </w:r>
      <w:r/>
    </w:p>
    <w:p>
      <w:pPr>
        <w:pStyle w:val="ListParagraph"/>
        <w:numPr>
          <w:ilvl w:val="0"/>
          <w:numId w:val="0"/>
        </w:numPr>
        <w:spacing w:lineRule="auto" w:line="240" w:before="0" w:after="0"/>
        <w:ind w:left="717" w:hanging="0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RS" w:eastAsia="sr-Latn-RS" w:bidi="ar-SA"/>
        </w:rPr>
      </w:r>
      <w:r/>
    </w:p>
    <w:p>
      <w:pPr>
        <w:pStyle w:val="ListParagraph"/>
        <w:spacing w:lineRule="auto" w:line="240" w:before="0" w:after="0"/>
        <w:ind w:left="36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  <w:lang w:val="en-US"/>
        </w:rPr>
        <w:t>VII</w:t>
      </w:r>
      <w:r>
        <w:rPr>
          <w:szCs w:val="24"/>
        </w:rPr>
        <w:t xml:space="preserve"> ПРЕУЗИМАЊЕ ДОКУМЕНТАЦИЈЕ ЗА ЈАВНИ ПОЗИВ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 xml:space="preserve">    </w:t>
      </w:r>
      <w:r>
        <w:rPr>
          <w:szCs w:val="24"/>
        </w:rPr>
        <w:t xml:space="preserve">Конкурсна документација за Јавни позив може се преузети на интернет страници </w:t>
      </w:r>
      <w:r>
        <w:rPr>
          <w:szCs w:val="24"/>
          <w:lang w:val="sr-RS"/>
        </w:rPr>
        <w:t>Града Пирота</w:t>
      </w:r>
      <w:r>
        <w:rPr>
          <w:szCs w:val="24"/>
        </w:rPr>
        <w:t xml:space="preserve">, или у </w:t>
      </w:r>
      <w:r>
        <w:rPr>
          <w:szCs w:val="24"/>
          <w:lang w:val="sr-RS"/>
        </w:rPr>
        <w:t>Јединственом управном месту, шалтер број 13</w:t>
      </w:r>
      <w:r>
        <w:rPr>
          <w:szCs w:val="24"/>
        </w:rPr>
        <w:t xml:space="preserve"> и садржи:</w:t>
      </w:r>
      <w:r/>
    </w:p>
    <w:p>
      <w:pPr>
        <w:pStyle w:val="Normal"/>
        <w:numPr>
          <w:ilvl w:val="0"/>
          <w:numId w:val="4"/>
        </w:numPr>
        <w:spacing w:lineRule="auto" w:line="240" w:before="0" w:after="0"/>
        <w:rPr>
          <w:szCs w:val="24"/>
        </w:rPr>
      </w:pPr>
      <w:r>
        <w:rPr>
          <w:szCs w:val="24"/>
        </w:rPr>
        <w:t>Комплетан текст Јавног позива,</w:t>
      </w:r>
      <w:r/>
    </w:p>
    <w:p>
      <w:pPr>
        <w:pStyle w:val="Normal"/>
        <w:numPr>
          <w:ilvl w:val="0"/>
          <w:numId w:val="4"/>
        </w:numPr>
        <w:spacing w:lineRule="auto" w:line="240" w:before="0" w:after="0"/>
      </w:pPr>
      <w:r>
        <w:rPr>
          <w:szCs w:val="24"/>
        </w:rPr>
        <w:t>Прилог 1 - за грађане - Пријавни образац и образац о стању породичних кућа,</w:t>
      </w:r>
      <w:r/>
    </w:p>
    <w:p>
      <w:pPr>
        <w:pStyle w:val="Normal"/>
        <w:numPr>
          <w:ilvl w:val="0"/>
          <w:numId w:val="4"/>
        </w:numPr>
        <w:spacing w:lineRule="auto" w:line="240" w:before="0" w:after="0"/>
      </w:pPr>
      <w:r>
        <w:rPr>
          <w:szCs w:val="24"/>
        </w:rPr>
        <w:t>Прилог 2 - Листа фирми/привредних субјеката са које грађани изабирају једну фирму од које морају да прибаве предрачун са ценом и количином опреме и уградњу,</w:t>
      </w:r>
      <w:r/>
    </w:p>
    <w:p>
      <w:pPr>
        <w:pStyle w:val="Normal"/>
        <w:numPr>
          <w:ilvl w:val="0"/>
          <w:numId w:val="4"/>
        </w:numPr>
        <w:spacing w:lineRule="auto" w:line="240" w:before="0" w:after="0"/>
      </w:pPr>
      <w:r>
        <w:rPr>
          <w:szCs w:val="24"/>
        </w:rPr>
        <w:t>Прилог 3 -  Kритеријуми за избор пројеката,</w:t>
      </w:r>
      <w:r/>
    </w:p>
    <w:p>
      <w:pPr>
        <w:pStyle w:val="Normal"/>
        <w:numPr>
          <w:ilvl w:val="0"/>
          <w:numId w:val="4"/>
        </w:numPr>
        <w:spacing w:lineRule="auto" w:line="240" w:before="0" w:after="0"/>
      </w:pPr>
      <w:r>
        <w:rPr>
          <w:szCs w:val="24"/>
        </w:rPr>
        <w:t xml:space="preserve">Прилог 4 - </w:t>
      </w:r>
      <w:r>
        <w:rPr>
          <w:szCs w:val="24"/>
          <w:lang w:val="sr-Cyrl-CS"/>
        </w:rPr>
        <w:t>Општ</w:t>
      </w:r>
      <w:r>
        <w:rPr>
          <w:szCs w:val="24"/>
          <w:lang w:val="sr-RS"/>
        </w:rPr>
        <w:t>и</w:t>
      </w:r>
      <w:r>
        <w:rPr>
          <w:szCs w:val="24"/>
          <w:lang w:val="sr-Cyrl-CS"/>
        </w:rPr>
        <w:t xml:space="preserve"> услови за прикључење фотонапонских модула на унутрашње инсталације постојећег објекта купца за </w:t>
      </w:r>
      <w:r>
        <w:rPr>
          <w:szCs w:val="24"/>
          <w:lang w:val="sr-RS"/>
        </w:rPr>
        <w:t>и</w:t>
      </w:r>
      <w:r>
        <w:rPr>
          <w:szCs w:val="24"/>
          <w:lang w:val="sr-Cyrl-CS"/>
        </w:rPr>
        <w:t xml:space="preserve">ндивидуална домаћинства са директним мерењем, </w:t>
      </w:r>
      <w:r>
        <w:rPr>
          <w:szCs w:val="24"/>
          <w:lang w:val="sr-RS"/>
        </w:rPr>
        <w:t>и</w:t>
      </w:r>
      <w:r>
        <w:rPr>
          <w:szCs w:val="24"/>
          <w:lang w:val="sr-Cyrl-CS"/>
        </w:rPr>
        <w:t>здати од стране Електродистрибуције Србије д.о.о. Београд, 03.12.2021. године,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both"/>
      </w:pPr>
      <w:r>
        <w:rPr>
          <w:szCs w:val="24"/>
          <w:lang w:val="sr-Cyrl-CS"/>
        </w:rPr>
        <w:t>Прилог 5 - Брошура Министарства рударства и енергетике „Корак по корак – Како да постану купци - произвођачи електричне енергије“,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left"/>
      </w:pPr>
      <w:r>
        <w:rPr>
          <w:szCs w:val="24"/>
          <w:lang w:val="sr-Cyrl-CS"/>
        </w:rPr>
        <w:t>Прилог 6 - пример рачуна за електричну енергију</w:t>
      </w:r>
      <w:r>
        <w:rPr/>
        <w:t xml:space="preserve"> </w:t>
      </w:r>
      <w:r>
        <w:rPr>
          <w:szCs w:val="24"/>
          <w:lang w:val="sr-Cyrl-CS"/>
        </w:rPr>
        <w:t>са обележеном одобреном снагом,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left"/>
      </w:pPr>
      <w:r>
        <w:rPr>
          <w:szCs w:val="24"/>
          <w:lang w:val="sr-Cyrl-CS"/>
        </w:rPr>
        <w:t>Прилог 7 - модел уговора о потпуном снабдевању са нето мерењем,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both"/>
      </w:pPr>
      <w:r>
        <w:rPr>
          <w:szCs w:val="24"/>
          <w:lang w:val="sr-Cyrl-CS"/>
        </w:rPr>
        <w:t>Прилог 8</w:t>
      </w:r>
      <w:r>
        <w:rPr>
          <w:szCs w:val="24"/>
        </w:rPr>
        <w:t xml:space="preserve"> - </w:t>
      </w:r>
      <w:r>
        <w:rPr>
          <w:szCs w:val="24"/>
          <w:lang w:val="sr-Cyrl-CS"/>
        </w:rPr>
        <w:t xml:space="preserve">Изјава да </w:t>
      </w:r>
      <w:r>
        <w:rPr>
          <w:szCs w:val="24"/>
          <w:lang w:val="sr-RS"/>
        </w:rPr>
        <w:t>Г</w:t>
      </w:r>
      <w:r>
        <w:rPr>
          <w:szCs w:val="24"/>
          <w:lang w:val="sr-Cyrl-CS"/>
        </w:rPr>
        <w:t>рад може да прибави за грађанина из катастра потврду о власништву,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left"/>
      </w:pPr>
      <w:r>
        <w:rPr>
          <w:szCs w:val="24"/>
          <w:lang w:val="sr-Cyrl-CS"/>
        </w:rPr>
        <w:t xml:space="preserve">Прилог 9: Изјава о </w:t>
      </w:r>
      <w:r>
        <w:rPr>
          <w:szCs w:val="24"/>
        </w:rPr>
        <w:t>сагласност</w:t>
      </w:r>
      <w:r>
        <w:rPr>
          <w:szCs w:val="24"/>
          <w:lang w:val="sr-Cyrl-CS"/>
        </w:rPr>
        <w:t>и</w:t>
      </w:r>
      <w:r>
        <w:rPr>
          <w:szCs w:val="24"/>
        </w:rPr>
        <w:t xml:space="preserve"> власника/</w:t>
      </w:r>
      <w:r>
        <w:rPr>
          <w:szCs w:val="24"/>
          <w:lang w:val="sr-RS"/>
        </w:rPr>
        <w:t>сувласника објекта,</w:t>
      </w:r>
      <w:r/>
    </w:p>
    <w:p>
      <w:pPr>
        <w:pStyle w:val="ListParagraph"/>
        <w:numPr>
          <w:ilvl w:val="0"/>
          <w:numId w:val="4"/>
        </w:numPr>
        <w:spacing w:lineRule="auto" w:line="240" w:before="0" w:after="0"/>
        <w:jc w:val="left"/>
      </w:pPr>
      <w:r>
        <w:rPr>
          <w:szCs w:val="24"/>
          <w:lang w:val="sr-RS"/>
        </w:rPr>
        <w:t>Прилог 10: Изјава о члановима домаћинства</w:t>
      </w:r>
      <w:r/>
    </w:p>
    <w:p>
      <w:pPr>
        <w:pStyle w:val="ListParagraph"/>
        <w:numPr>
          <w:ilvl w:val="0"/>
          <w:numId w:val="0"/>
        </w:numPr>
        <w:spacing w:lineRule="auto" w:line="240" w:before="0" w:after="0"/>
        <w:jc w:val="left"/>
        <w:rPr>
          <w:szCs w:val="24"/>
          <w:lang w:val="sr-RS"/>
        </w:rPr>
      </w:pPr>
      <w:r>
        <w:rPr/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szCs w:val="24"/>
        </w:rPr>
        <w:t>VIII МЕСТО И РОК ДОСТАВЈЬАЊА ПРИЈАВА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</w:rPr>
        <w:tab/>
        <w:t xml:space="preserve">Рок за подношење пријава је </w:t>
      </w:r>
      <w:r>
        <w:rPr>
          <w:szCs w:val="24"/>
          <w:lang w:val="sr-RS"/>
        </w:rPr>
        <w:t>21 дан</w:t>
      </w:r>
      <w:r>
        <w:rPr>
          <w:szCs w:val="24"/>
        </w:rPr>
        <w:t xml:space="preserve"> од дана објављивања на званичној интернет страници и огласној табли </w:t>
      </w:r>
      <w:r>
        <w:rPr>
          <w:szCs w:val="24"/>
          <w:lang w:val="sr-RS"/>
        </w:rPr>
        <w:t>Града Пирота</w:t>
      </w:r>
      <w:r>
        <w:rPr>
          <w:szCs w:val="24"/>
        </w:rPr>
        <w:t>,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ab/>
        <w:t xml:space="preserve">Конкурс је отворен закључно са даном </w:t>
      </w:r>
      <w:r>
        <w:rPr>
          <w:szCs w:val="24"/>
          <w:lang w:val="sr-RS"/>
        </w:rPr>
        <w:t>20.12.2022</w:t>
      </w:r>
      <w:r>
        <w:rPr>
          <w:szCs w:val="24"/>
        </w:rPr>
        <w:t>. године.</w:t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</w:rPr>
        <w:tab/>
        <w:t xml:space="preserve">Попуњени, </w:t>
      </w:r>
      <w:r>
        <w:rPr>
          <w:szCs w:val="24"/>
          <w:lang w:val="sr-Cyrl-CS"/>
        </w:rPr>
        <w:t>потписани</w:t>
      </w:r>
      <w:r>
        <w:rPr>
          <w:szCs w:val="24"/>
        </w:rPr>
        <w:t xml:space="preserve"> и одштампани пријавни образац </w:t>
      </w:r>
      <w:bookmarkStart w:id="0" w:name="_GoBack"/>
      <w:bookmarkEnd w:id="0"/>
      <w:r>
        <w:rPr>
          <w:szCs w:val="24"/>
        </w:rPr>
        <w:t>и пратећа документација достављају се у затвореној коверти са назнаком: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b/>
          <w:szCs w:val="24"/>
        </w:rPr>
        <w:t>„</w:t>
      </w:r>
      <w:r>
        <w:rPr>
          <w:b/>
          <w:szCs w:val="24"/>
        </w:rPr>
        <w:t xml:space="preserve">ПРИЈАВА ЗА ЈАВНИ ПОЗИВ ЗА УЧЕШЋЕ ГРАЂАНА У </w:t>
      </w:r>
      <w:r>
        <w:rPr>
          <w:b/>
          <w:szCs w:val="24"/>
          <w:lang w:val="sr-RS"/>
        </w:rPr>
        <w:t>СПРОВОЂЕЊУ</w:t>
      </w:r>
      <w:r>
        <w:rPr>
          <w:b/>
          <w:szCs w:val="24"/>
        </w:rPr>
        <w:t xml:space="preserve"> МЕР</w:t>
      </w:r>
      <w:r>
        <w:rPr>
          <w:b/>
          <w:szCs w:val="24"/>
          <w:lang w:val="sr-RS"/>
        </w:rPr>
        <w:t>А</w:t>
      </w:r>
      <w:r>
        <w:rPr>
          <w:b/>
          <w:szCs w:val="24"/>
        </w:rPr>
        <w:t xml:space="preserve"> ЕНЕРГЕТСКЕ САНАЦИЈЕ </w:t>
      </w:r>
      <w:r>
        <w:rPr>
          <w:b/>
          <w:szCs w:val="24"/>
          <w:lang w:val="sr-Cyrl-CS"/>
        </w:rPr>
        <w:t>ПУТЕМ УГРАДЊЕ СОЛАРНИХ ПАНЕЛА ЗА ПРОИЗВОДЊУ ЕЛЕКТРИЧНЕ ЕНЕРГИЈЕ</w:t>
      </w:r>
      <w:r>
        <w:rPr>
          <w:b/>
          <w:szCs w:val="24"/>
        </w:rPr>
        <w:t xml:space="preserve"> - НЕ ОТВАРАТИ”, са пуном адресом пошиљаоца на полеђини коверте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708"/>
        <w:rPr>
          <w:szCs w:val="24"/>
        </w:rPr>
      </w:pPr>
      <w:r>
        <w:rPr>
          <w:szCs w:val="24"/>
        </w:rPr>
        <w:t xml:space="preserve">Пријава се предаје лично на писарници </w:t>
      </w:r>
      <w:r>
        <w:rPr>
          <w:szCs w:val="24"/>
          <w:lang w:val="sr-RS"/>
        </w:rPr>
        <w:t>Градске</w:t>
      </w:r>
      <w:r>
        <w:rPr>
          <w:szCs w:val="24"/>
        </w:rPr>
        <w:t xml:space="preserve"> управе </w:t>
      </w:r>
      <w:r>
        <w:rPr>
          <w:szCs w:val="24"/>
          <w:lang w:val="sr-RS"/>
        </w:rPr>
        <w:t>града Пирота</w:t>
      </w:r>
      <w:r>
        <w:rPr>
          <w:szCs w:val="24"/>
        </w:rPr>
        <w:t>, или препоручено поштом на адресу: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708"/>
      </w:pPr>
      <w:r>
        <w:rPr>
          <w:b/>
          <w:bCs/>
          <w:szCs w:val="24"/>
          <w:lang w:val="sr-RS"/>
        </w:rPr>
        <w:t>Градска управа Пирот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b/>
          <w:bCs/>
          <w:szCs w:val="24"/>
          <w:lang w:val="sr-RS"/>
        </w:rPr>
        <w:t>улица Српских владара 82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b/>
          <w:bCs/>
          <w:szCs w:val="24"/>
          <w:lang w:val="sr-RS"/>
        </w:rPr>
        <w:t>18300 Пирот</w:t>
      </w:r>
      <w:r/>
    </w:p>
    <w:p>
      <w:pPr>
        <w:pStyle w:val="Normal"/>
        <w:spacing w:lineRule="auto" w:line="240" w:before="0" w:after="0"/>
        <w:ind w:left="0" w:firstLine="708"/>
        <w:rPr>
          <w:szCs w:val="24"/>
          <w:lang w:val="sr-RS"/>
        </w:rPr>
      </w:pPr>
      <w:r>
        <w:rPr>
          <w:b/>
          <w:bCs/>
          <w:szCs w:val="24"/>
        </w:rPr>
        <w:t>Комисија за реализацију мера енергетске санације</w:t>
      </w:r>
      <w:r>
        <w:rPr>
          <w:b/>
          <w:bCs/>
          <w:szCs w:val="24"/>
          <w:lang w:val="sr-RS"/>
        </w:rPr>
        <w:t xml:space="preserve"> путем уградње соларних панела за производњу електричне енергије</w:t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</w:rPr>
        <w:tab/>
        <w:tab/>
      </w:r>
      <w:r/>
    </w:p>
    <w:p>
      <w:pPr>
        <w:pStyle w:val="Normal"/>
        <w:spacing w:lineRule="auto" w:line="240" w:before="0" w:after="0"/>
        <w:ind w:left="0" w:firstLine="708"/>
        <w:rPr>
          <w:szCs w:val="24"/>
          <w:lang w:val="sr-RS"/>
        </w:rPr>
      </w:pPr>
      <w:r>
        <w:rPr>
          <w:szCs w:val="24"/>
        </w:rPr>
        <w:t xml:space="preserve">За све додатне информације и обавештења у вези Јавног позива можете се обратити на контакт телефон </w:t>
      </w:r>
      <w:r>
        <w:rPr>
          <w:szCs w:val="24"/>
          <w:lang w:val="sr-Cyrl-CS"/>
        </w:rPr>
        <w:t xml:space="preserve">010/305-522 </w:t>
      </w:r>
      <w:r>
        <w:rPr>
          <w:szCs w:val="24"/>
        </w:rPr>
        <w:t>и електронску адресу: e-mail:</w:t>
      </w:r>
      <w:r>
        <w:rPr>
          <w:szCs w:val="24"/>
          <w:lang w:val="sr-RS"/>
        </w:rPr>
        <w:t xml:space="preserve"> </w:t>
      </w:r>
      <w:r>
        <w:rPr>
          <w:szCs w:val="24"/>
          <w:u w:val="single" w:color="000000"/>
        </w:rPr>
        <w:t>eekonkurs@pirot.rs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ab/>
        <w:t xml:space="preserve">Сва питања и одговори биће објављени на интернет страници </w:t>
      </w:r>
      <w:r>
        <w:rPr>
          <w:szCs w:val="24"/>
          <w:lang w:val="sr-RS"/>
        </w:rPr>
        <w:t xml:space="preserve"> града Пирота.</w:t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  <w:lang w:val="sr-Cyrl-CS"/>
        </w:rPr>
        <w:tab/>
      </w:r>
      <w:r>
        <w:rPr>
          <w:szCs w:val="24"/>
        </w:rPr>
        <w:t xml:space="preserve">Благовременом </w:t>
      </w:r>
      <w:r>
        <w:rPr>
          <w:szCs w:val="24"/>
          <w:lang w:val="sr-Cyrl-CS"/>
        </w:rPr>
        <w:t>доставом</w:t>
      </w:r>
      <w:r>
        <w:rPr>
          <w:szCs w:val="24"/>
        </w:rPr>
        <w:t xml:space="preserve"> сматра се препоручена пошиљка предата пошти најкасније до </w:t>
      </w:r>
      <w:r>
        <w:rPr>
          <w:szCs w:val="24"/>
        </w:rPr>
        <w:drawing>
          <wp:inline distT="0" distB="0" distL="0" distR="0">
            <wp:extent cx="14605" cy="146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истека последњег дана утврђеног рока за предају конкурсне документације </w:t>
      </w:r>
      <w:r>
        <w:rPr>
          <w:szCs w:val="24"/>
          <w:lang w:val="sr-Cyrl-CS"/>
        </w:rPr>
        <w:t>(</w:t>
      </w:r>
      <w:r>
        <w:rPr>
          <w:szCs w:val="24"/>
        </w:rPr>
        <w:t xml:space="preserve">печат поште), без обзира на датум приспећа. </w:t>
      </w:r>
      <w:r/>
    </w:p>
    <w:p>
      <w:pPr>
        <w:pStyle w:val="Normal"/>
        <w:spacing w:lineRule="auto" w:line="240" w:before="0" w:after="0"/>
        <w:ind w:left="705" w:hanging="0"/>
        <w:rPr>
          <w:szCs w:val="24"/>
          <w:lang w:val="sr-Cyrl-CS"/>
        </w:rPr>
      </w:pPr>
      <w:r>
        <w:rPr>
          <w:szCs w:val="24"/>
        </w:rPr>
        <w:t>Пријаве послате на било који други начин неће бити узете у разматрање. Неблаговремене и непотпуне пријаве се неће разматрати.</w:t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</w:rPr>
        <w:tab/>
      </w:r>
      <w:r/>
    </w:p>
    <w:p>
      <w:pPr>
        <w:pStyle w:val="Normal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</w:rPr>
        <w:t>IX КРИТЕРИЈУМИ ЗА ИЗБОР ПРОЈЕКАТА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708"/>
        <w:rPr>
          <w:szCs w:val="24"/>
          <w:lang w:val="sr-Cyrl-CS"/>
        </w:rPr>
      </w:pPr>
      <w:r>
        <w:rPr>
          <w:szCs w:val="24"/>
        </w:rPr>
        <w:t>Критеријуми за избор пројеката су</w:t>
      </w:r>
      <w:r>
        <w:rPr>
          <w:szCs w:val="24"/>
          <w:lang w:val="sr-Cyrl-CS"/>
        </w:rPr>
        <w:t xml:space="preserve"> следећи: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Normal"/>
        <w:numPr>
          <w:ilvl w:val="0"/>
          <w:numId w:val="5"/>
        </w:numPr>
        <w:spacing w:lineRule="auto" w:line="240" w:before="0" w:after="0"/>
        <w:jc w:val="left"/>
      </w:pPr>
      <w:r>
        <w:rPr>
          <w:szCs w:val="24"/>
        </w:rPr>
        <w:t xml:space="preserve">постојеће стање спољних зидова; </w:t>
      </w:r>
      <w:r/>
    </w:p>
    <w:p>
      <w:pPr>
        <w:pStyle w:val="Normal"/>
        <w:numPr>
          <w:ilvl w:val="0"/>
          <w:numId w:val="5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 xml:space="preserve">примарни начин грејања; </w:t>
      </w:r>
      <w:r/>
    </w:p>
    <w:p>
      <w:pPr>
        <w:pStyle w:val="Normal"/>
        <w:numPr>
          <w:ilvl w:val="0"/>
          <w:numId w:val="5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>постојеће карактеристике спољне столарије;</w:t>
      </w:r>
      <w:r/>
    </w:p>
    <w:p>
      <w:pPr>
        <w:pStyle w:val="Normal"/>
        <w:numPr>
          <w:ilvl w:val="0"/>
          <w:numId w:val="5"/>
        </w:numPr>
        <w:spacing w:lineRule="auto" w:line="240" w:before="0" w:after="0"/>
        <w:jc w:val="left"/>
        <w:rPr>
          <w:szCs w:val="24"/>
        </w:rPr>
      </w:pPr>
      <w:r>
        <w:rPr>
          <w:szCs w:val="24"/>
        </w:rPr>
        <w:t>К фактор заузетости површине за породичне куће;</w:t>
      </w:r>
      <w:r/>
    </w:p>
    <w:p>
      <w:pPr>
        <w:pStyle w:val="Normal"/>
        <w:numPr>
          <w:ilvl w:val="0"/>
          <w:numId w:val="5"/>
        </w:numPr>
        <w:spacing w:lineRule="auto" w:line="240" w:before="0" w:after="0"/>
        <w:jc w:val="left"/>
      </w:pPr>
      <w:r>
        <w:rPr>
          <w:szCs w:val="24"/>
        </w:rPr>
        <w:t xml:space="preserve">коришћење субвенција за енергетску санацију (средства </w:t>
      </w:r>
      <w:r>
        <w:rPr>
          <w:szCs w:val="24"/>
          <w:lang w:val="sr-RS"/>
        </w:rPr>
        <w:t>града</w:t>
      </w:r>
      <w:r>
        <w:rPr>
          <w:szCs w:val="24"/>
        </w:rPr>
        <w:t>/републике).</w:t>
      </w:r>
      <w:r/>
    </w:p>
    <w:p>
      <w:pPr>
        <w:pStyle w:val="Normal"/>
        <w:spacing w:lineRule="auto" w:line="240" w:before="0" w:after="0"/>
        <w:ind w:left="36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left"/>
      </w:pPr>
      <w:r>
        <w:rPr>
          <w:szCs w:val="24"/>
          <w:lang w:val="sr-Cyrl-CS"/>
        </w:rPr>
        <w:t xml:space="preserve">            </w:t>
      </w:r>
      <w:r>
        <w:rPr>
          <w:szCs w:val="24"/>
          <w:lang w:val="sr-Cyrl-CS"/>
        </w:rPr>
        <w:t>Детаљни начин бодовања према наведеним критеријумима је дат у Прилогу 3.</w:t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en-U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en-U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en-U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en-U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  <w:rPr>
          <w:szCs w:val="24"/>
        </w:rPr>
      </w:pPr>
      <w:r>
        <w:rPr>
          <w:szCs w:val="24"/>
        </w:rPr>
        <w:t>X ОЦЕЊИВАЊЕ, УТВРЂИВАЊЕ ЛИСТЕ И ИЗБОР КРАЈЊИХ КОРИСНИКА</w:t>
      </w:r>
      <w:r/>
    </w:p>
    <w:p>
      <w:pPr>
        <w:pStyle w:val="ListParagraph"/>
        <w:spacing w:lineRule="auto" w:line="240" w:before="0" w:after="0"/>
        <w:ind w:left="1137" w:hanging="0"/>
        <w:jc w:val="left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 xml:space="preserve">Оцењивање и рангирање пројеката грађана врши се </w:t>
      </w:r>
      <w:r>
        <w:rPr>
          <w:szCs w:val="24"/>
          <w:lang w:val="sr-Cyrl-CS"/>
        </w:rPr>
        <w:t>у складу са Правилником</w:t>
      </w:r>
      <w:r>
        <w:rPr/>
        <w:t xml:space="preserve"> </w:t>
      </w:r>
      <w:r>
        <w:rPr>
          <w:szCs w:val="24"/>
          <w:lang w:val="sr-Cyrl-CS"/>
        </w:rPr>
        <w:t xml:space="preserve">и </w:t>
      </w:r>
      <w:r>
        <w:rPr>
          <w:szCs w:val="24"/>
        </w:rPr>
        <w:t>применом критеријума из одељка IX Јавног позива</w:t>
      </w:r>
      <w:r>
        <w:rPr>
          <w:szCs w:val="24"/>
          <w:lang w:val="sr-Cyrl-CS"/>
        </w:rPr>
        <w:t>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Пријава ће се сматрати неуредном ако у достављеној писаној форми недостаје било који документ из одељка V</w:t>
      </w:r>
      <w:r>
        <w:rPr>
          <w:szCs w:val="24"/>
          <w:lang w:val="sr-Latn-CS"/>
        </w:rPr>
        <w:t>I</w:t>
      </w:r>
      <w:r>
        <w:rPr>
          <w:szCs w:val="24"/>
        </w:rPr>
        <w:t xml:space="preserve"> Јавног позива и у том случају решењем ће бити одбачена.</w:t>
      </w:r>
      <w:r/>
    </w:p>
    <w:p>
      <w:pPr>
        <w:pStyle w:val="Normal"/>
        <w:spacing w:lineRule="auto" w:line="240" w:before="0" w:after="0"/>
        <w:ind w:left="0" w:hanging="0"/>
        <w:rPr>
          <w:szCs w:val="24"/>
        </w:rPr>
      </w:pPr>
      <w:r>
        <w:rPr>
          <w:szCs w:val="24"/>
        </w:rPr>
        <w:tab/>
        <w:t>Пријаве са документацијом чија садржина није у складу са Јавним позивом се не оцењују и решењем ће бити одбијене.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 xml:space="preserve">Комисија разматра пријаве и у складу са условима из </w:t>
      </w:r>
      <w:r>
        <w:rPr>
          <w:szCs w:val="24"/>
          <w:lang w:val="sr-Cyrl-CS"/>
        </w:rPr>
        <w:t xml:space="preserve">одељка </w:t>
      </w:r>
      <w:r>
        <w:rPr>
          <w:szCs w:val="24"/>
          <w:lang w:val="sr-Latn-CS"/>
        </w:rPr>
        <w:t>III</w:t>
      </w:r>
      <w:r>
        <w:rPr>
          <w:szCs w:val="24"/>
          <w:lang w:val="sr-Cyrl-CS"/>
        </w:rPr>
        <w:t xml:space="preserve"> </w:t>
      </w:r>
      <w:r>
        <w:rPr>
          <w:szCs w:val="24"/>
        </w:rPr>
        <w:t xml:space="preserve">Јавног позива утврђује </w:t>
      </w:r>
      <w:r>
        <w:rPr>
          <w:szCs w:val="24"/>
          <w:lang w:val="sr-Cyrl-CS"/>
        </w:rPr>
        <w:t xml:space="preserve">посебну </w:t>
      </w:r>
      <w:r>
        <w:rPr>
          <w:szCs w:val="24"/>
        </w:rPr>
        <w:t xml:space="preserve">прелиминарну ранг листу крајњих корисника за </w:t>
      </w:r>
      <w:r>
        <w:rPr>
          <w:bCs/>
          <w:szCs w:val="24"/>
          <w:lang w:val="sr-Cyrl-CS"/>
        </w:rPr>
        <w:t xml:space="preserve">меру из одељка </w:t>
      </w:r>
      <w:r>
        <w:rPr>
          <w:bCs/>
          <w:szCs w:val="24"/>
          <w:lang w:val="en-US"/>
        </w:rPr>
        <w:t xml:space="preserve">I </w:t>
      </w:r>
      <w:r>
        <w:rPr>
          <w:bCs/>
          <w:szCs w:val="24"/>
          <w:lang w:val="sr-Cyrl-CS"/>
        </w:rPr>
        <w:t>став 1. тачка 1) Ј</w:t>
      </w:r>
      <w:r>
        <w:rPr>
          <w:szCs w:val="24"/>
        </w:rPr>
        <w:t>авног позива</w:t>
      </w:r>
      <w:r>
        <w:rPr>
          <w:szCs w:val="24"/>
          <w:lang w:val="sr-RS"/>
        </w:rPr>
        <w:t>,</w:t>
      </w:r>
      <w:r>
        <w:rPr>
          <w:szCs w:val="24"/>
        </w:rPr>
        <w:t xml:space="preserve"> на основу бодовања према критеријумима из из одељка </w:t>
      </w:r>
      <w:r>
        <w:rPr>
          <w:szCs w:val="24"/>
          <w:lang w:val="en-US"/>
        </w:rPr>
        <w:t xml:space="preserve">IX </w:t>
      </w:r>
      <w:r>
        <w:rPr>
          <w:szCs w:val="24"/>
        </w:rPr>
        <w:t>Јавног позива.</w:t>
      </w:r>
      <w:r/>
    </w:p>
    <w:p>
      <w:pPr>
        <w:pStyle w:val="Normal"/>
        <w:spacing w:lineRule="auto" w:line="240" w:before="0" w:after="0"/>
        <w:ind w:left="0" w:firstLine="708"/>
        <w:rPr>
          <w:szCs w:val="24"/>
          <w:lang w:val="sr-Cyrl-CS"/>
        </w:rPr>
      </w:pPr>
      <w:r>
        <w:rPr>
          <w:szCs w:val="24"/>
          <w:lang w:val="sr-Cyrl-CS"/>
        </w:rPr>
        <w:t>У току поступка оцене и избора пројеката Комисија може да од подносиоца пријаве, према потреби, затражи додатну документацију и информације.</w:t>
      </w:r>
      <w:r/>
    </w:p>
    <w:p>
      <w:pPr>
        <w:pStyle w:val="Normal"/>
        <w:spacing w:lineRule="auto" w:line="240" w:before="0" w:after="0"/>
        <w:ind w:left="0" w:firstLine="708"/>
        <w:rPr>
          <w:szCs w:val="24"/>
        </w:rPr>
      </w:pPr>
      <w:r>
        <w:rPr>
          <w:szCs w:val="24"/>
        </w:rPr>
        <w:t>Лист</w:t>
      </w:r>
      <w:r>
        <w:rPr>
          <w:szCs w:val="24"/>
          <w:lang w:val="sr-Cyrl-CS"/>
        </w:rPr>
        <w:t>е</w:t>
      </w:r>
      <w:r>
        <w:rPr>
          <w:szCs w:val="24"/>
        </w:rPr>
        <w:t xml:space="preserve"> из става 4. овог одељка Комисија објављује на огласној табли града и званичној интернет страници града.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Подносиоци пријава имају право увида у поднете пријаве и приложену документацију по утврђивању лист</w:t>
      </w:r>
      <w:r>
        <w:rPr>
          <w:szCs w:val="24"/>
          <w:lang w:val="sr-RS"/>
        </w:rPr>
        <w:t>е</w:t>
      </w:r>
      <w:r>
        <w:rPr>
          <w:szCs w:val="24"/>
        </w:rPr>
        <w:t xml:space="preserve"> из става 4. овог одељка у року од три дана од дана објављивања листе.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На лист</w:t>
      </w:r>
      <w:r>
        <w:rPr>
          <w:szCs w:val="24"/>
          <w:lang w:val="sr-RS"/>
        </w:rPr>
        <w:t>у</w:t>
      </w:r>
      <w:r>
        <w:rPr>
          <w:szCs w:val="24"/>
        </w:rPr>
        <w:t xml:space="preserve"> из става 4. овог одељка подносиоци пријава имају право приговора Комисији у року од осам дана од дана њеног објављивања.</w:t>
      </w:r>
      <w:r>
        <w:rPr>
          <w:szCs w:val="24"/>
          <w:lang w:val="sr-Cyrl-CS"/>
        </w:rPr>
        <w:t xml:space="preserve"> </w:t>
      </w:r>
      <w:r>
        <w:rPr>
          <w:szCs w:val="24"/>
        </w:rPr>
        <w:t>Приговор се подноси на писарниц</w:t>
      </w:r>
      <w:r>
        <w:rPr>
          <w:szCs w:val="24"/>
          <w:lang w:val="sr-RS"/>
        </w:rPr>
        <w:t>и</w:t>
      </w:r>
      <w:r>
        <w:rPr>
          <w:szCs w:val="24"/>
        </w:rPr>
        <w:t xml:space="preserve"> ЈЛС.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Комисија је дужна да размотри поднете приговоре на лист</w:t>
      </w:r>
      <w:r>
        <w:rPr>
          <w:szCs w:val="24"/>
          <w:lang w:val="sr-RS"/>
        </w:rPr>
        <w:t>у</w:t>
      </w:r>
      <w:r>
        <w:rPr>
          <w:szCs w:val="24"/>
        </w:rPr>
        <w:t xml:space="preserve"> из става 4. овог одељка као и да донесе одлуку о приговору, која мора бити образложена, у року од 15 дана од дана његовог пријема и на основу донетих одлука донесе ревидиран</w:t>
      </w:r>
      <w:r>
        <w:rPr>
          <w:szCs w:val="24"/>
          <w:lang w:val="sr-RS"/>
        </w:rPr>
        <w:t>у</w:t>
      </w:r>
      <w:r>
        <w:rPr>
          <w:szCs w:val="24"/>
        </w:rPr>
        <w:t xml:space="preserve"> прелиминарн</w:t>
      </w:r>
      <w:r>
        <w:rPr>
          <w:szCs w:val="24"/>
          <w:lang w:val="sr-RS"/>
        </w:rPr>
        <w:t>у</w:t>
      </w:r>
      <w:r>
        <w:rPr>
          <w:szCs w:val="24"/>
        </w:rPr>
        <w:t xml:space="preserve"> лист</w:t>
      </w:r>
      <w:r>
        <w:rPr>
          <w:szCs w:val="24"/>
          <w:lang w:val="sr-RS"/>
        </w:rPr>
        <w:t>у</w:t>
      </w:r>
      <w:r>
        <w:rPr>
          <w:szCs w:val="24"/>
        </w:rPr>
        <w:t>.</w:t>
      </w:r>
      <w:r>
        <w:rPr>
          <w:szCs w:val="24"/>
        </w:rPr>
        <w:drawing>
          <wp:inline distT="0" distB="0" distL="0" distR="0">
            <wp:extent cx="14605" cy="14605"/>
            <wp:effectExtent l="0" t="0" r="0" b="0"/>
            <wp:docPr id="2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На основу лист</w:t>
      </w:r>
      <w:r>
        <w:rPr>
          <w:szCs w:val="24"/>
          <w:lang w:val="sr-RS"/>
        </w:rPr>
        <w:t>е</w:t>
      </w:r>
      <w:r>
        <w:rPr>
          <w:szCs w:val="24"/>
        </w:rPr>
        <w:t xml:space="preserve"> из става 9. овог одељка Комисија врш</w:t>
      </w:r>
      <w:r>
        <w:rPr>
          <w:szCs w:val="24"/>
          <w:lang w:val="sr-Cyrl-CS"/>
        </w:rPr>
        <w:t>и</w:t>
      </w:r>
      <w:r>
        <w:rPr>
          <w:szCs w:val="24"/>
        </w:rPr>
        <w:t xml:space="preserve"> теренски обилазак ради увида у ста</w:t>
      </w:r>
      <w:r>
        <w:rPr>
          <w:szCs w:val="24"/>
          <w:lang w:val="sr-Cyrl-CS"/>
        </w:rPr>
        <w:t>њ</w:t>
      </w:r>
      <w:r>
        <w:rPr>
          <w:szCs w:val="24"/>
        </w:rPr>
        <w:t>е стамбених објекат</w:t>
      </w:r>
      <w:r>
        <w:rPr>
          <w:szCs w:val="24"/>
          <w:lang w:val="sr-RS"/>
        </w:rPr>
        <w:t>а</w:t>
      </w:r>
      <w:r>
        <w:rPr>
          <w:szCs w:val="24"/>
          <w:lang w:val="sr-Cyrl-CS"/>
        </w:rPr>
        <w:t xml:space="preserve"> </w:t>
      </w:r>
      <w:r>
        <w:rPr>
          <w:szCs w:val="24"/>
        </w:rPr>
        <w:t>са т</w:t>
      </w:r>
      <w:r>
        <w:rPr>
          <w:szCs w:val="24"/>
          <w:lang w:val="sr-RS"/>
        </w:rPr>
        <w:t>е</w:t>
      </w:r>
      <w:r>
        <w:rPr>
          <w:szCs w:val="24"/>
        </w:rPr>
        <w:t xml:space="preserve"> лист</w:t>
      </w:r>
      <w:r>
        <w:rPr>
          <w:szCs w:val="24"/>
          <w:lang w:val="sr-RS"/>
        </w:rPr>
        <w:t>е,</w:t>
      </w:r>
      <w:r>
        <w:rPr>
          <w:szCs w:val="24"/>
        </w:rPr>
        <w:t xml:space="preserve"> закључно са редним бројем подносиоца пријаве до којег су обезбеђена укупна средства за субвенционисање.</w:t>
      </w:r>
      <w:r/>
    </w:p>
    <w:p>
      <w:pPr>
        <w:pStyle w:val="Normal"/>
        <w:spacing w:lineRule="auto" w:line="240" w:before="0" w:after="0"/>
        <w:ind w:left="0" w:firstLine="708"/>
        <w:rPr>
          <w:szCs w:val="24"/>
        </w:rPr>
      </w:pPr>
      <w:r>
        <w:rPr>
          <w:szCs w:val="24"/>
          <w:u w:val="single" w:color="000000"/>
        </w:rPr>
        <w:t xml:space="preserve">Уколико је Комисија приликом теренског обиласка из става 10. овог одељка утврдила да је подносилац пријаве дао неистините податке у пријави, Комисија га елиминише из ревидиране прелиминарне листе и уместо </w:t>
      </w:r>
      <w:r>
        <w:rPr>
          <w:szCs w:val="24"/>
          <w:u w:val="single"/>
        </w:rPr>
        <w:t xml:space="preserve">њега </w:t>
      </w:r>
      <w:r>
        <w:rPr>
          <w:szCs w:val="24"/>
          <w:u w:val="single"/>
          <w:lang w:val="sr-Cyrl-CS"/>
        </w:rPr>
        <w:t>врши</w:t>
      </w:r>
      <w:r>
        <w:rPr>
          <w:szCs w:val="24"/>
          <w:u w:val="single"/>
        </w:rPr>
        <w:t xml:space="preserve"> теренски</w:t>
      </w:r>
      <w:r>
        <w:rPr>
          <w:szCs w:val="24"/>
          <w:u w:val="single" w:color="000000"/>
        </w:rPr>
        <w:t xml:space="preserve"> обилазак првог следећег на листи</w:t>
      </w:r>
      <w:r>
        <w:rPr>
          <w:szCs w:val="24"/>
          <w:u w:val="single" w:color="000000"/>
          <w:lang w:val="sr-Cyrl-CS"/>
        </w:rPr>
        <w:t xml:space="preserve"> за којег нису обезбеђена средства на основу прелиминарне листе</w:t>
      </w:r>
      <w:r>
        <w:rPr>
          <w:szCs w:val="24"/>
          <w:u w:val="single" w:color="000000"/>
        </w:rPr>
        <w:t>.</w:t>
      </w:r>
      <w:r/>
    </w:p>
    <w:p>
      <w:pPr>
        <w:pStyle w:val="Normal"/>
        <w:spacing w:lineRule="auto" w:line="240" w:before="0" w:after="0"/>
        <w:ind w:left="0" w:firstLine="708"/>
        <w:rPr>
          <w:szCs w:val="24"/>
        </w:rPr>
      </w:pPr>
      <w:r>
        <w:rPr>
          <w:szCs w:val="24"/>
        </w:rPr>
        <w:t>Приликом теренског обиласка уз обавезно присуство подносиоца захтева</w:t>
      </w:r>
      <w:r>
        <w:rPr>
          <w:szCs w:val="24"/>
          <w:lang w:val="sr-Cyrl-CS"/>
        </w:rPr>
        <w:t>,</w:t>
      </w:r>
      <w:r>
        <w:rPr>
          <w:szCs w:val="24"/>
        </w:rPr>
        <w:t xml:space="preserve"> комисија сачињава записник у два примерка, при чему један остаје подносиоцу пријаве, а један задржава Комисија. 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 xml:space="preserve">На основу записника из става 12. овог одељка комисија сачињава </w:t>
      </w:r>
      <w:r>
        <w:rPr>
          <w:szCs w:val="24"/>
          <w:lang w:val="sr-RS"/>
        </w:rPr>
        <w:t xml:space="preserve">предлог </w:t>
      </w:r>
      <w:r>
        <w:rPr>
          <w:szCs w:val="24"/>
        </w:rPr>
        <w:t>коначн</w:t>
      </w:r>
      <w:r>
        <w:rPr>
          <w:szCs w:val="24"/>
          <w:lang w:val="sr-RS"/>
        </w:rPr>
        <w:t>е</w:t>
      </w:r>
      <w:r>
        <w:rPr>
          <w:szCs w:val="24"/>
        </w:rPr>
        <w:t xml:space="preserve"> лист</w:t>
      </w:r>
      <w:r>
        <w:rPr>
          <w:szCs w:val="24"/>
          <w:lang w:val="sr-RS"/>
        </w:rPr>
        <w:t>е</w:t>
      </w:r>
      <w:r>
        <w:rPr>
          <w:szCs w:val="24"/>
        </w:rPr>
        <w:t xml:space="preserve"> крајњих корисника.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  <w:lang w:val="sr-RS"/>
        </w:rPr>
        <w:t>Листу из</w:t>
      </w:r>
      <w:r>
        <w:rPr>
          <w:szCs w:val="24"/>
        </w:rPr>
        <w:t xml:space="preserve"> става 13. овог одељка Комисија објављује на огласној табли </w:t>
      </w:r>
      <w:r>
        <w:rPr>
          <w:szCs w:val="24"/>
        </w:rPr>
        <w:drawing>
          <wp:inline distT="0" distB="0" distL="0" distR="0">
            <wp:extent cx="14605" cy="14605"/>
            <wp:effectExtent l="0" t="0" r="0" b="0"/>
            <wp:docPr id="3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4"/>
          <w:lang w:val="sr-RS"/>
        </w:rPr>
        <w:t>Града</w:t>
      </w:r>
      <w:r>
        <w:rPr>
          <w:szCs w:val="24"/>
        </w:rPr>
        <w:t xml:space="preserve"> и званичној интернет страници </w:t>
      </w:r>
      <w:r>
        <w:rPr>
          <w:szCs w:val="24"/>
          <w:lang w:val="sr-RS"/>
        </w:rPr>
        <w:t>Града</w:t>
      </w:r>
      <w:r>
        <w:rPr>
          <w:szCs w:val="24"/>
        </w:rPr>
        <w:t>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На лист</w:t>
      </w:r>
      <w:r>
        <w:rPr>
          <w:szCs w:val="24"/>
          <w:lang w:val="sr-RS"/>
        </w:rPr>
        <w:t>у</w:t>
      </w:r>
      <w:r>
        <w:rPr>
          <w:szCs w:val="24"/>
        </w:rPr>
        <w:t xml:space="preserve"> из става 13. овог одељка подносиоци пријава код којих је извршен теренски обилазак, имају право приговора Комисији у року од осам дана од дана објављивања </w:t>
      </w:r>
      <w:r>
        <w:rPr>
          <w:szCs w:val="24"/>
          <w:lang w:val="sr-RS"/>
        </w:rPr>
        <w:t xml:space="preserve">предлога </w:t>
      </w:r>
      <w:r>
        <w:rPr>
          <w:szCs w:val="24"/>
        </w:rPr>
        <w:t>коначн</w:t>
      </w:r>
      <w:r>
        <w:rPr>
          <w:szCs w:val="24"/>
          <w:lang w:val="sr-RS"/>
        </w:rPr>
        <w:t>е</w:t>
      </w:r>
      <w:r>
        <w:rPr>
          <w:szCs w:val="24"/>
        </w:rPr>
        <w:t xml:space="preserve"> лист</w:t>
      </w:r>
      <w:r>
        <w:rPr>
          <w:szCs w:val="24"/>
          <w:lang w:val="sr-RS"/>
        </w:rPr>
        <w:t>е</w:t>
      </w:r>
      <w:r>
        <w:rPr>
          <w:szCs w:val="24"/>
        </w:rPr>
        <w:t xml:space="preserve"> крајњих корисника. Приговор се подноси на писарниц</w:t>
      </w:r>
      <w:r>
        <w:rPr>
          <w:szCs w:val="24"/>
          <w:lang w:val="sr-RS"/>
        </w:rPr>
        <w:t>и</w:t>
      </w:r>
      <w:r>
        <w:rPr>
          <w:szCs w:val="24"/>
        </w:rPr>
        <w:t xml:space="preserve"> </w:t>
      </w:r>
      <w:r>
        <w:rPr>
          <w:szCs w:val="24"/>
          <w:lang w:val="sr-RS"/>
        </w:rPr>
        <w:t>Г</w:t>
      </w:r>
      <w:r>
        <w:rPr>
          <w:szCs w:val="24"/>
          <w:lang w:val="sr-Cyrl-CS"/>
        </w:rPr>
        <w:t>рада</w:t>
      </w:r>
      <w:r>
        <w:rPr>
          <w:szCs w:val="24"/>
        </w:rPr>
        <w:t>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</w:rPr>
        <w:t>Комисија је дужна да одлучи по приговорима из става 15. овог одељка у року од 15 дана од дана пријема приговора и након одлучивања по свим приговорима сачини коначн</w:t>
      </w:r>
      <w:r>
        <w:rPr>
          <w:szCs w:val="24"/>
          <w:lang w:val="sr-RS"/>
        </w:rPr>
        <w:t>у</w:t>
      </w:r>
      <w:r>
        <w:rPr>
          <w:szCs w:val="24"/>
        </w:rPr>
        <w:t xml:space="preserve"> лист</w:t>
      </w:r>
      <w:r>
        <w:rPr>
          <w:szCs w:val="24"/>
          <w:lang w:val="sr-RS"/>
        </w:rPr>
        <w:t>у</w:t>
      </w:r>
      <w:r>
        <w:rPr>
          <w:szCs w:val="24"/>
        </w:rPr>
        <w:t xml:space="preserve"> крајњих корисника.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  <w:lang w:val="sr-RS"/>
        </w:rPr>
        <w:t>Подносиоци пријава имају право жалбе Градском већу у року од три дана од дана објављивања коначне листе крајњих корисника.</w:t>
      </w:r>
      <w:r/>
    </w:p>
    <w:p>
      <w:pPr>
        <w:pStyle w:val="Normal"/>
        <w:spacing w:lineRule="auto" w:line="240" w:before="0" w:after="0"/>
        <w:ind w:left="0" w:firstLine="708"/>
      </w:pPr>
      <w:r>
        <w:rPr>
          <w:szCs w:val="24"/>
          <w:shd w:fill="FFFFFF" w:val="clear"/>
          <w:lang w:val="sr-RS"/>
        </w:rPr>
        <w:t>Градско</w:t>
      </w:r>
      <w:r>
        <w:rPr>
          <w:szCs w:val="24"/>
          <w:shd w:fill="FFFFFF" w:val="clear"/>
        </w:rPr>
        <w:t xml:space="preserve"> веће града</w:t>
      </w:r>
      <w:r>
        <w:rPr>
          <w:szCs w:val="24"/>
          <w:shd w:fill="FFFFFF" w:val="clear"/>
          <w:lang w:val="sr-RS"/>
        </w:rPr>
        <w:t xml:space="preserve"> Пирота</w:t>
      </w:r>
      <w:r>
        <w:rPr>
          <w:szCs w:val="24"/>
          <w:shd w:fill="FFFFFF" w:val="clear"/>
        </w:rPr>
        <w:t xml:space="preserve"> </w:t>
      </w:r>
      <w:r>
        <w:rPr>
          <w:szCs w:val="24"/>
          <w:shd w:fill="FFFFFF" w:val="clear"/>
          <w:lang w:val="sr-RS"/>
        </w:rPr>
        <w:t xml:space="preserve">у року од 8 дана одлучује по поднетим жалбама и </w:t>
      </w:r>
      <w:r>
        <w:rPr>
          <w:szCs w:val="24"/>
          <w:shd w:fill="FFFFFF" w:val="clear"/>
        </w:rPr>
        <w:t>доноси</w:t>
      </w:r>
      <w:r>
        <w:rPr>
          <w:color w:val="000000"/>
          <w:szCs w:val="24"/>
          <w:shd w:fill="FFFFFF" w:val="clear"/>
        </w:rPr>
        <w:t xml:space="preserve"> </w:t>
      </w:r>
      <w:r>
        <w:rPr>
          <w:color w:val="000000"/>
          <w:szCs w:val="24"/>
          <w:shd w:fill="FFFFFF" w:val="clear"/>
          <w:lang w:val="sr-RS"/>
        </w:rPr>
        <w:t>Одлуку</w:t>
      </w:r>
      <w:r>
        <w:rPr>
          <w:color w:val="000000"/>
          <w:szCs w:val="24"/>
          <w:shd w:fill="FFFFFF" w:val="clear"/>
        </w:rPr>
        <w:t xml:space="preserve"> </w:t>
      </w:r>
      <w:r>
        <w:rPr>
          <w:szCs w:val="24"/>
          <w:shd w:fill="FFFFFF" w:val="clear"/>
        </w:rPr>
        <w:t xml:space="preserve">о додели бесповратних средстава </w:t>
      </w:r>
      <w:r>
        <w:rPr>
          <w:szCs w:val="24"/>
          <w:shd w:fill="FFFFFF" w:val="clear"/>
          <w:lang w:val="sr-Cyrl-CS"/>
        </w:rPr>
        <w:t xml:space="preserve">грађанима </w:t>
      </w:r>
      <w:r>
        <w:rPr>
          <w:szCs w:val="24"/>
          <w:shd w:fill="FFFFFF" w:val="clear"/>
        </w:rPr>
        <w:t>за спровођење мера енергетске санације</w:t>
      </w:r>
      <w:r>
        <w:rPr>
          <w:szCs w:val="24"/>
          <w:shd w:fill="FFFFFF" w:val="clear"/>
          <w:lang w:val="sr-Cyrl-CS"/>
        </w:rPr>
        <w:t xml:space="preserve">, на основу </w:t>
      </w:r>
      <w:r>
        <w:rPr>
          <w:szCs w:val="24"/>
          <w:shd w:fill="FFFFFF" w:val="clear"/>
          <w:lang w:val="sr-RS"/>
        </w:rPr>
        <w:t>које</w:t>
      </w:r>
      <w:r>
        <w:rPr>
          <w:szCs w:val="24"/>
          <w:shd w:fill="FFFFFF" w:val="clear"/>
          <w:lang w:val="sr-Cyrl-CS"/>
        </w:rPr>
        <w:t xml:space="preserve"> се закључују уговори о међусобним правима и обавезама.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Cyrl-C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Cyrl-C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  <w:jc w:val="center"/>
      </w:pPr>
      <w:r>
        <w:rPr>
          <w:szCs w:val="24"/>
        </w:rPr>
        <w:t>XI НАЧИН РЕАЛИЗАЦИЈЕ ДОДЕЉЕНИХ СРЕДСТАВА</w:t>
      </w:r>
      <w:r/>
    </w:p>
    <w:p>
      <w:pPr>
        <w:pStyle w:val="Normal"/>
        <w:spacing w:lineRule="auto" w:line="240" w:before="0" w:after="0"/>
        <w:ind w:left="0" w:hanging="0"/>
        <w:jc w:val="center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  <w:lang w:val="sr-Cyrl-CS"/>
        </w:rPr>
        <w:t xml:space="preserve">         </w:t>
      </w:r>
      <w:r>
        <w:rPr>
          <w:szCs w:val="24"/>
          <w:lang w:val="sr-Cyrl-CS"/>
        </w:rPr>
        <w:t>Град ће вршити пренос средстава искључиво привредним субјектима- извођачима радова, а не домаћинствима, након што грађанин</w:t>
      </w:r>
      <w:r>
        <w:rPr>
          <w:color w:val="FF0000"/>
          <w:szCs w:val="24"/>
          <w:lang w:val="sr-Cyrl-CS"/>
        </w:rPr>
        <w:t xml:space="preserve"> </w:t>
      </w:r>
      <w:r>
        <w:rPr>
          <w:szCs w:val="24"/>
          <w:lang w:val="sr-Cyrl-CS"/>
        </w:rPr>
        <w:t xml:space="preserve">изврши уплату </w:t>
      </w:r>
      <w:r>
        <w:rPr>
          <w:szCs w:val="24"/>
          <w:lang w:val="sr-RS"/>
        </w:rPr>
        <w:t xml:space="preserve">целокупног сопственог удела </w:t>
      </w:r>
      <w:r>
        <w:rPr>
          <w:szCs w:val="24"/>
          <w:lang w:val="sr-Cyrl-CS"/>
        </w:rPr>
        <w:t>извођачу радова и након завршетка реализације мере.</w:t>
      </w:r>
      <w:r/>
    </w:p>
    <w:p>
      <w:pPr>
        <w:pStyle w:val="Normal"/>
        <w:spacing w:lineRule="auto" w:line="240" w:before="0" w:after="0"/>
        <w:ind w:left="61" w:hanging="0"/>
      </w:pPr>
      <w:r>
        <w:rPr>
          <w:szCs w:val="24"/>
          <w:lang w:val="sr-Cyrl-CS"/>
        </w:rPr>
        <w:t xml:space="preserve">      </w:t>
      </w:r>
      <w:r>
        <w:rPr>
          <w:szCs w:val="24"/>
          <w:lang w:val="sr-Cyrl-CS"/>
        </w:rPr>
        <w:t>Услов да се пренесу средства извођачу радова је потврда Комисије да су радови изведени како је предвиђено предмером и предрачуном који је грађанин</w:t>
      </w:r>
      <w:r>
        <w:rPr>
          <w:color w:val="FF0000"/>
          <w:szCs w:val="24"/>
          <w:lang w:val="sr-Cyrl-CS"/>
        </w:rPr>
        <w:t xml:space="preserve"> </w:t>
      </w:r>
      <w:r>
        <w:rPr>
          <w:szCs w:val="24"/>
          <w:lang w:val="sr-Cyrl-CS"/>
        </w:rPr>
        <w:t>предао када се пријавио за меру, као и у складу са записником Комисије приликом првог изласка.</w:t>
      </w:r>
      <w:r/>
    </w:p>
    <w:p>
      <w:pPr>
        <w:pStyle w:val="Normal"/>
        <w:spacing w:lineRule="auto" w:line="240" w:before="0" w:after="0"/>
        <w:ind w:left="61" w:firstLine="612"/>
      </w:pPr>
      <w:r>
        <w:rPr>
          <w:szCs w:val="24"/>
          <w:lang w:val="sr-Cyrl-CS"/>
        </w:rPr>
        <w:t>Град ће вршити пренос средстава изабраним извођачима радова у складу са закљученим уговором. Грађанин</w:t>
      </w:r>
      <w:r>
        <w:rPr>
          <w:color w:val="FF0000"/>
          <w:szCs w:val="24"/>
          <w:lang w:val="sr-Cyrl-CS"/>
        </w:rPr>
        <w:t xml:space="preserve"> </w:t>
      </w:r>
      <w:r>
        <w:rPr>
          <w:szCs w:val="24"/>
          <w:lang w:val="sr-Cyrl-CS"/>
        </w:rPr>
        <w:t xml:space="preserve">ће сам сносити трошкове изведених радова који буду већи од износа субвенције наведене у одељку </w:t>
      </w:r>
      <w:r>
        <w:rPr>
          <w:szCs w:val="24"/>
        </w:rPr>
        <w:t>I</w:t>
      </w:r>
      <w:r>
        <w:rPr>
          <w:szCs w:val="24"/>
          <w:lang w:val="sr-Cyrl-CS"/>
        </w:rPr>
        <w:t xml:space="preserve"> (максималног износа </w:t>
      </w:r>
      <w:r>
        <w:rPr>
          <w:szCs w:val="24"/>
          <w:lang w:val="sr-RS"/>
        </w:rPr>
        <w:t>бесповратних средстава града</w:t>
      </w:r>
      <w:r>
        <w:rPr>
          <w:szCs w:val="24"/>
          <w:lang w:val="sr-Cyrl-CS"/>
        </w:rPr>
        <w:t>).</w:t>
      </w:r>
      <w:r/>
    </w:p>
    <w:p>
      <w:pPr>
        <w:pStyle w:val="Normal"/>
        <w:spacing w:lineRule="auto" w:line="240" w:before="0" w:after="0"/>
        <w:ind w:left="61" w:firstLine="612"/>
      </w:pPr>
      <w:r>
        <w:rPr>
          <w:szCs w:val="24"/>
          <w:lang w:val="sr-Cyrl-CS"/>
        </w:rPr>
        <w:t>Уколико грађанин</w:t>
      </w:r>
      <w:r>
        <w:rPr>
          <w:color w:val="FF0000"/>
          <w:szCs w:val="24"/>
          <w:lang w:val="sr-Cyrl-CS"/>
        </w:rPr>
        <w:t xml:space="preserve">  </w:t>
      </w:r>
      <w:r>
        <w:rPr>
          <w:szCs w:val="24"/>
          <w:lang w:val="sr-Cyrl-CS"/>
        </w:rPr>
        <w:t>није средства наменски утрошио, или радови нису изведени у складу са предмером и предрачуном који је грађанин</w:t>
      </w:r>
      <w:r>
        <w:rPr>
          <w:color w:val="FF0000"/>
          <w:szCs w:val="24"/>
          <w:lang w:val="sr-Cyrl-CS"/>
        </w:rPr>
        <w:t xml:space="preserve"> </w:t>
      </w:r>
      <w:r>
        <w:rPr>
          <w:szCs w:val="24"/>
          <w:lang w:val="sr-Cyrl-CS"/>
        </w:rPr>
        <w:t xml:space="preserve">поднео приликом пријаве, Град неће уплатити средства додељена јавним </w:t>
      </w:r>
      <w:r>
        <w:rPr>
          <w:szCs w:val="24"/>
          <w:lang w:val="sr-RS"/>
        </w:rPr>
        <w:t>конкурсом</w:t>
      </w:r>
      <w:r>
        <w:rPr>
          <w:szCs w:val="24"/>
          <w:lang w:val="sr-Cyrl-CS"/>
        </w:rPr>
        <w:t>.</w:t>
      </w:r>
      <w:r/>
    </w:p>
    <w:p>
      <w:pPr>
        <w:pStyle w:val="Normal"/>
        <w:spacing w:lineRule="auto" w:line="240" w:before="0" w:after="0"/>
        <w:ind w:left="0" w:hanging="0"/>
      </w:pPr>
      <w:r>
        <w:rPr>
          <w:bCs/>
          <w:szCs w:val="24"/>
          <w:lang w:val="sr-Cyrl-CS"/>
        </w:rPr>
        <w:tab/>
        <w:t>Уколико из неког разлога г</w:t>
      </w:r>
      <w:r>
        <w:rPr>
          <w:szCs w:val="24"/>
          <w:lang w:val="sr-Cyrl-CS"/>
        </w:rPr>
        <w:t>рађанин</w:t>
      </w:r>
      <w:r>
        <w:rPr>
          <w:color w:val="FF0000"/>
          <w:szCs w:val="24"/>
          <w:lang w:val="sr-Cyrl-CS"/>
        </w:rPr>
        <w:t xml:space="preserve"> </w:t>
      </w:r>
      <w:r>
        <w:rPr>
          <w:bCs/>
          <w:szCs w:val="24"/>
          <w:lang w:val="sr-Cyrl-CS"/>
        </w:rPr>
        <w:t>не може да реализује набавку од одабраног извођача радова, има право да изврши набавку од другог са листе и да о томе, пре реализације набавке, обавести Комисију и достави јој нову профактуру/предрачун, с тим да износ не може бити већи од одобреног.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  <w:lang w:val="sr-Cyrl-CS"/>
        </w:rPr>
        <w:tab/>
        <w:t>Саставни део уговора за меру уградње соларних панела је технички извештај/елаборат издат од стране изабраног привредног субјекта (извођача радова), који садржи шему и технички опис инсталације соларних панела, као и изјаву да се на постојећи кров могу поставити соларни панели и да се на унутрашњу инсталацију могу уградити соларни панели. Извештај/елаборат мора садржати све елементе неопходне за издавање Акта о прикључењу од стране ОДС-а .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 xml:space="preserve">     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 xml:space="preserve">     </w:t>
      </w:r>
      <w:r>
        <w:rPr>
          <w:szCs w:val="24"/>
        </w:rPr>
        <w:t>Услов</w:t>
      </w:r>
      <w:r>
        <w:rPr>
          <w:szCs w:val="24"/>
          <w:lang w:val="sr-RS"/>
        </w:rPr>
        <w:t>и</w:t>
      </w:r>
      <w:r>
        <w:rPr>
          <w:szCs w:val="24"/>
        </w:rPr>
        <w:t xml:space="preserve"> да</w:t>
      </w:r>
      <w:r>
        <w:rPr>
          <w:szCs w:val="24"/>
          <w:lang w:val="sr-Cyrl-CS"/>
        </w:rPr>
        <w:t xml:space="preserve"> Град</w:t>
      </w:r>
      <w:r>
        <w:rPr>
          <w:szCs w:val="24"/>
        </w:rPr>
        <w:t xml:space="preserve"> пренес</w:t>
      </w:r>
      <w:r>
        <w:rPr>
          <w:szCs w:val="24"/>
          <w:lang w:val="sr-Cyrl-CS"/>
        </w:rPr>
        <w:t>е</w:t>
      </w:r>
      <w:r>
        <w:rPr>
          <w:szCs w:val="24"/>
        </w:rPr>
        <w:t xml:space="preserve"> средства </w:t>
      </w:r>
      <w:r>
        <w:rPr>
          <w:szCs w:val="24"/>
          <w:lang w:val="sr-Cyrl-CS"/>
        </w:rPr>
        <w:t>субвенције привредном субјекту (извођачу радова)</w:t>
      </w:r>
      <w:r>
        <w:rPr>
          <w:szCs w:val="24"/>
          <w:lang w:val="en-US"/>
        </w:rPr>
        <w:t xml:space="preserve"> </w:t>
      </w:r>
      <w:r>
        <w:rPr>
          <w:szCs w:val="24"/>
          <w:lang w:val="sr-Cyrl-CS"/>
        </w:rPr>
        <w:t xml:space="preserve">за меру уградње соларних панела </w:t>
      </w:r>
      <w:r>
        <w:rPr>
          <w:szCs w:val="24"/>
          <w:lang w:val="sr-RS"/>
        </w:rPr>
        <w:t>су</w:t>
      </w:r>
      <w:r>
        <w:rPr>
          <w:szCs w:val="24"/>
          <w:lang w:val="sr-Cyrl-CS"/>
        </w:rPr>
        <w:t>:</w:t>
      </w:r>
      <w:r/>
    </w:p>
    <w:p>
      <w:pPr>
        <w:pStyle w:val="ListParagraph"/>
        <w:widowControl/>
        <w:numPr>
          <w:ilvl w:val="0"/>
          <w:numId w:val="6"/>
        </w:numPr>
        <w:suppressAutoHyphens w:val="true"/>
        <w:bidi w:val="0"/>
        <w:spacing w:lineRule="auto" w:line="276" w:before="120" w:after="120"/>
        <w:ind w:left="360" w:right="0" w:hanging="360"/>
        <w:jc w:val="both"/>
      </w:pPr>
      <w:r>
        <w:rPr>
          <w:szCs w:val="24"/>
          <w:lang w:val="sr-Cyrl-CS"/>
        </w:rPr>
        <w:t>Потврда Комисије да су радови изведени како је предвиђено предмером и предрачуном који је грађанин предао када се пријавио на јавни позив;</w:t>
      </w:r>
      <w:r/>
    </w:p>
    <w:p>
      <w:pPr>
        <w:pStyle w:val="ListParagraph"/>
        <w:widowControl/>
        <w:numPr>
          <w:ilvl w:val="0"/>
          <w:numId w:val="6"/>
        </w:numPr>
        <w:suppressAutoHyphens w:val="true"/>
        <w:bidi w:val="0"/>
        <w:spacing w:lineRule="auto" w:line="276" w:before="120" w:after="120"/>
        <w:ind w:left="360" w:right="0" w:hanging="360"/>
        <w:jc w:val="both"/>
      </w:pPr>
      <w:r>
        <w:rPr>
          <w:szCs w:val="24"/>
          <w:lang w:val="sr-RS"/>
        </w:rPr>
        <w:t>Доказ да је грађанин извршио уплату целокупногсопственог удела извођачу радова;</w:t>
      </w:r>
      <w:r/>
    </w:p>
    <w:p>
      <w:pPr>
        <w:pStyle w:val="ListParagraph"/>
        <w:widowControl/>
        <w:numPr>
          <w:ilvl w:val="0"/>
          <w:numId w:val="6"/>
        </w:numPr>
        <w:suppressAutoHyphens w:val="true"/>
        <w:bidi w:val="0"/>
        <w:spacing w:lineRule="auto" w:line="276" w:before="120" w:after="120"/>
        <w:ind w:left="360" w:right="0" w:hanging="360"/>
        <w:jc w:val="both"/>
      </w:pPr>
      <w:r>
        <w:rPr>
          <w:szCs w:val="24"/>
          <w:lang w:val="sr-RS"/>
        </w:rPr>
        <w:t>Потврда да је грађанин примио од привредног субјекта сву техничку и финансијску документацију (рачуне и атесте) везану за уграђени систем;</w:t>
      </w:r>
      <w:r/>
    </w:p>
    <w:p>
      <w:pPr>
        <w:pStyle w:val="ListParagraph"/>
        <w:widowControl/>
        <w:numPr>
          <w:ilvl w:val="0"/>
          <w:numId w:val="6"/>
        </w:numPr>
        <w:suppressAutoHyphens w:val="true"/>
        <w:bidi w:val="0"/>
        <w:spacing w:lineRule="auto" w:line="252" w:before="0" w:after="5"/>
        <w:ind w:left="360" w:right="0" w:hanging="360"/>
        <w:contextualSpacing/>
        <w:jc w:val="both"/>
      </w:pPr>
      <w:r>
        <w:rPr>
          <w:szCs w:val="24"/>
          <w:lang w:val="sr-Cyrl-CS"/>
        </w:rPr>
        <w:t>Да је грађанин потписао уговор</w:t>
      </w:r>
      <w:r>
        <w:rPr/>
        <w:t xml:space="preserve"> </w:t>
      </w:r>
      <w:r>
        <w:rPr>
          <w:szCs w:val="24"/>
          <w:lang w:val="sr-Cyrl-CS"/>
        </w:rPr>
        <w:t>о потпуном снабдевању са нето мерењем са ЕПС снабдевањем;</w:t>
      </w:r>
      <w:r/>
    </w:p>
    <w:p>
      <w:pPr>
        <w:pStyle w:val="ListParagraph"/>
        <w:widowControl/>
        <w:numPr>
          <w:ilvl w:val="0"/>
          <w:numId w:val="6"/>
        </w:numPr>
        <w:tabs>
          <w:tab w:val="left" w:pos="450" w:leader="none"/>
        </w:tabs>
        <w:suppressAutoHyphens w:val="true"/>
        <w:bidi w:val="0"/>
        <w:spacing w:lineRule="auto" w:line="276" w:before="120" w:after="120"/>
        <w:ind w:left="360" w:right="0" w:hanging="360"/>
        <w:jc w:val="both"/>
      </w:pPr>
      <w:r>
        <w:rPr>
          <w:szCs w:val="24"/>
          <w:lang w:val="sr-RS"/>
        </w:rPr>
        <w:t xml:space="preserve">Да </w:t>
      </w:r>
      <w:r>
        <w:rPr>
          <w:szCs w:val="24"/>
        </w:rPr>
        <w:t>ОДС изда Акт о прикључењу, прикључи купца-произвођача на дистрибутивни систем  и упише га у регистар купца-произвођача.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val="sr-Latn-RS" w:eastAsia="sr-Latn-RS" w:bidi="ar-SA"/>
        </w:rPr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ab/>
        <w:t>Контролу извршења уговорених обавеза извршиће Комисија.</w:t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/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/>
      </w:r>
      <w:r/>
    </w:p>
    <w:p>
      <w:pPr>
        <w:pStyle w:val="Normal"/>
        <w:spacing w:lineRule="auto" w:line="240" w:before="0" w:after="0"/>
        <w:ind w:left="0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>
          <w:rFonts w:eastAsia="Times New Roman" w:cs="Times New Roman"/>
          <w:color w:val="000000"/>
          <w:sz w:val="24"/>
          <w:szCs w:val="24"/>
          <w:lang w:eastAsia="sr-Latn-RS"/>
        </w:rPr>
        <w:t xml:space="preserve">                 </w:t>
      </w:r>
      <w:r/>
    </w:p>
    <w:p>
      <w:pPr>
        <w:pStyle w:val="Normal"/>
        <w:widowControl/>
        <w:suppressAutoHyphens w:val="true"/>
        <w:bidi w:val="0"/>
        <w:spacing w:lineRule="auto" w:line="252" w:before="0" w:after="0"/>
        <w:ind w:left="0" w:right="0" w:hanging="0"/>
        <w:jc w:val="both"/>
      </w:pPr>
      <w:r>
        <w:rPr>
          <w:shd w:fill="FFFFFF" w:val="clear"/>
          <w:lang w:val="sr-RS"/>
        </w:rPr>
        <w:t>Б</w:t>
      </w:r>
      <w:r>
        <w:rPr>
          <w:shd w:fill="FFFFFF" w:val="clear"/>
        </w:rPr>
        <w:t xml:space="preserve">рој III 312- </w:t>
      </w:r>
      <w:r>
        <w:rPr>
          <w:shd w:fill="FFFFFF" w:val="clear"/>
          <w:lang w:val="sr-RS"/>
        </w:rPr>
        <w:t>43</w:t>
      </w:r>
      <w:r>
        <w:rPr>
          <w:shd w:fill="FFFFFF" w:val="clear"/>
        </w:rPr>
        <w:t xml:space="preserve">/2022        </w:t>
      </w:r>
      <w:r>
        <w:rPr>
          <w:shd w:fill="auto" w:val="clear"/>
        </w:rPr>
        <w:t xml:space="preserve">                                                                        </w:t>
      </w:r>
      <w:r>
        <w:rPr>
          <w:szCs w:val="24"/>
          <w:shd w:fill="auto" w:val="clear"/>
          <w:lang w:val="sr-RS"/>
        </w:rPr>
        <w:t>КОМИСИЈА</w:t>
      </w:r>
      <w:r>
        <w:rPr>
          <w:shd w:fill="FFFF00" w:val="clear"/>
        </w:rPr>
        <w:t xml:space="preserve">                  </w:t>
      </w: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  <w:lang w:val="en-US"/>
        </w:rPr>
        <w:t xml:space="preserve">Пирот, </w:t>
      </w:r>
      <w:r>
        <w:rPr>
          <w:szCs w:val="24"/>
          <w:lang w:val="sr-RS"/>
        </w:rPr>
        <w:t>29.11.</w:t>
      </w:r>
      <w:r>
        <w:rPr>
          <w:szCs w:val="24"/>
          <w:lang w:val="en-US"/>
        </w:rPr>
        <w:t xml:space="preserve">2022. године                                                                                                                           </w:t>
      </w:r>
      <w:r/>
    </w:p>
    <w:p>
      <w:pPr>
        <w:pStyle w:val="Normal"/>
        <w:spacing w:lineRule="auto" w:line="240" w:before="0" w:after="0"/>
        <w:ind w:left="0" w:hanging="0"/>
      </w:pPr>
      <w:r>
        <w:rPr>
          <w:szCs w:val="24"/>
        </w:rPr>
        <w:tab/>
      </w:r>
      <w:r/>
    </w:p>
    <w:p>
      <w:pPr>
        <w:pStyle w:val="Normal"/>
        <w:spacing w:before="0" w:after="5"/>
        <w:rPr>
          <w:sz w:val="24"/>
          <w:sz w:val="24"/>
          <w:szCs w:val="22"/>
          <w:rFonts w:ascii="Times New Roman" w:hAnsi="Times New Roman" w:eastAsia="Times New Roman" w:cs="Times New Roman"/>
          <w:color w:val="000000"/>
          <w:lang w:val="sr-Latn-RS" w:eastAsia="sr-Latn-RS" w:bidi="ar-SA"/>
        </w:rPr>
      </w:pPr>
      <w:r>
        <w:rPr/>
      </w:r>
      <w:r/>
    </w:p>
    <w:sectPr>
      <w:type w:val="nextPage"/>
      <w:pgSz w:w="11906" w:h="16838"/>
      <w:pgMar w:left="1417" w:right="1417" w:header="0" w:top="1230" w:footer="0" w:bottom="1208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  <w:b w:val="fals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2">
      <w:start w:val="1"/>
      <w:numFmt w:val="lowerRoman"/>
      <w:lvlText w:val="%3"/>
      <w:lvlJc w:val="left"/>
      <w:pPr>
        <w:ind w:left="29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3">
      <w:start w:val="1"/>
      <w:numFmt w:val="decimal"/>
      <w:lvlText w:val="%4"/>
      <w:lvlJc w:val="left"/>
      <w:pPr>
        <w:ind w:left="37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4">
      <w:start w:val="1"/>
      <w:numFmt w:val="lowerLetter"/>
      <w:lvlText w:val="%5"/>
      <w:lvlJc w:val="left"/>
      <w:pPr>
        <w:ind w:left="44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5">
      <w:start w:val="1"/>
      <w:numFmt w:val="lowerRoman"/>
      <w:lvlText w:val="%6"/>
      <w:lvlJc w:val="left"/>
      <w:pPr>
        <w:ind w:left="51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6">
      <w:start w:val="1"/>
      <w:numFmt w:val="decimal"/>
      <w:lvlText w:val="%7"/>
      <w:lvlJc w:val="left"/>
      <w:pPr>
        <w:ind w:left="58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7">
      <w:start w:val="1"/>
      <w:numFmt w:val="lowerLetter"/>
      <w:lvlText w:val="%8"/>
      <w:lvlJc w:val="left"/>
      <w:pPr>
        <w:ind w:left="65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8">
      <w:start w:val="1"/>
      <w:numFmt w:val="lowerRoman"/>
      <w:lvlText w:val="%9"/>
      <w:lvlJc w:val="left"/>
      <w:pPr>
        <w:ind w:left="73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</w:abstractNum>
  <w:abstractNum w:abstractNumId="3">
    <w:lvl w:ilvl="0">
      <w:start w:val="1"/>
      <w:numFmt w:val="decimal"/>
      <w:lvlText w:val="%1)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2">
      <w:start w:val="1"/>
      <w:numFmt w:val="lowerRoman"/>
      <w:lvlText w:val="%3"/>
      <w:lvlJc w:val="left"/>
      <w:pPr>
        <w:ind w:left="29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3">
      <w:start w:val="1"/>
      <w:numFmt w:val="decimal"/>
      <w:lvlText w:val="%4"/>
      <w:lvlJc w:val="left"/>
      <w:pPr>
        <w:ind w:left="37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4">
      <w:start w:val="1"/>
      <w:numFmt w:val="lowerLetter"/>
      <w:lvlText w:val="%5"/>
      <w:lvlJc w:val="left"/>
      <w:pPr>
        <w:ind w:left="44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5">
      <w:start w:val="1"/>
      <w:numFmt w:val="lowerRoman"/>
      <w:lvlText w:val="%6"/>
      <w:lvlJc w:val="left"/>
      <w:pPr>
        <w:ind w:left="51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6">
      <w:start w:val="1"/>
      <w:numFmt w:val="decimal"/>
      <w:lvlText w:val="%7"/>
      <w:lvlJc w:val="left"/>
      <w:pPr>
        <w:ind w:left="58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7">
      <w:start w:val="1"/>
      <w:numFmt w:val="lowerLetter"/>
      <w:lvlText w:val="%8"/>
      <w:lvlJc w:val="left"/>
      <w:pPr>
        <w:ind w:left="65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8">
      <w:start w:val="1"/>
      <w:numFmt w:val="lowerRoman"/>
      <w:lvlText w:val="%9"/>
      <w:lvlJc w:val="left"/>
      <w:pPr>
        <w:ind w:left="73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</w:abstractNum>
  <w:abstractNum w:abstractNumId="4">
    <w:lvl w:ilvl="0">
      <w:start w:val="1"/>
      <w:numFmt w:val="decimal"/>
      <w:lvlText w:val="%1)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2">
      <w:start w:val="1"/>
      <w:numFmt w:val="lowerRoman"/>
      <w:lvlText w:val="%3"/>
      <w:lvlJc w:val="left"/>
      <w:pPr>
        <w:ind w:left="29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3">
      <w:start w:val="1"/>
      <w:numFmt w:val="decimal"/>
      <w:lvlText w:val="%4"/>
      <w:lvlJc w:val="left"/>
      <w:pPr>
        <w:ind w:left="37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4">
      <w:start w:val="1"/>
      <w:numFmt w:val="lowerLetter"/>
      <w:lvlText w:val="%5"/>
      <w:lvlJc w:val="left"/>
      <w:pPr>
        <w:ind w:left="44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5">
      <w:start w:val="1"/>
      <w:numFmt w:val="lowerRoman"/>
      <w:lvlText w:val="%6"/>
      <w:lvlJc w:val="left"/>
      <w:pPr>
        <w:ind w:left="51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6">
      <w:start w:val="1"/>
      <w:numFmt w:val="decimal"/>
      <w:lvlText w:val="%7"/>
      <w:lvlJc w:val="left"/>
      <w:pPr>
        <w:ind w:left="58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7">
      <w:start w:val="1"/>
      <w:numFmt w:val="lowerLetter"/>
      <w:lvlText w:val="%8"/>
      <w:lvlJc w:val="left"/>
      <w:pPr>
        <w:ind w:left="65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8">
      <w:start w:val="1"/>
      <w:numFmt w:val="lowerRoman"/>
      <w:lvlText w:val="%9"/>
      <w:lvlJc w:val="left"/>
      <w:pPr>
        <w:ind w:left="73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</w:abstractNum>
  <w:abstractNum w:abstractNumId="5">
    <w:lvl w:ilvl="0">
      <w:start w:val="1"/>
      <w:numFmt w:val="decimal"/>
      <w:lvlText w:val="%1)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2">
      <w:start w:val="1"/>
      <w:numFmt w:val="lowerRoman"/>
      <w:lvlText w:val="%3"/>
      <w:lvlJc w:val="left"/>
      <w:pPr>
        <w:ind w:left="29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3">
      <w:start w:val="1"/>
      <w:numFmt w:val="decimal"/>
      <w:lvlText w:val="%4"/>
      <w:lvlJc w:val="left"/>
      <w:pPr>
        <w:ind w:left="37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4">
      <w:start w:val="1"/>
      <w:numFmt w:val="lowerLetter"/>
      <w:lvlText w:val="%5"/>
      <w:lvlJc w:val="left"/>
      <w:pPr>
        <w:ind w:left="44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5">
      <w:start w:val="1"/>
      <w:numFmt w:val="lowerRoman"/>
      <w:lvlText w:val="%6"/>
      <w:lvlJc w:val="left"/>
      <w:pPr>
        <w:ind w:left="51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6">
      <w:start w:val="1"/>
      <w:numFmt w:val="decimal"/>
      <w:lvlText w:val="%7"/>
      <w:lvlJc w:val="left"/>
      <w:pPr>
        <w:ind w:left="58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7">
      <w:start w:val="1"/>
      <w:numFmt w:val="lowerLetter"/>
      <w:lvlText w:val="%8"/>
      <w:lvlJc w:val="left"/>
      <w:pPr>
        <w:ind w:left="65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8">
      <w:start w:val="1"/>
      <w:numFmt w:val="lowerRoman"/>
      <w:lvlText w:val="%9"/>
      <w:lvlJc w:val="left"/>
      <w:pPr>
        <w:ind w:left="73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</w:abstractNum>
  <w:abstractNum w:abstractNumId="6">
    <w:lvl w:ilvl="0">
      <w:start w:val="1"/>
      <w:numFmt w:val="decimal"/>
      <w:lvlText w:val="%1."/>
      <w:lvlJc w:val="left"/>
      <w:pPr>
        <w:ind w:left="41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138" w:hanging="360"/>
      </w:pPr>
    </w:lvl>
    <w:lvl w:ilvl="2">
      <w:start w:val="1"/>
      <w:numFmt w:val="lowerRoman"/>
      <w:lvlText w:val="%3."/>
      <w:lvlJc w:val="right"/>
      <w:pPr>
        <w:ind w:left="1858" w:hanging="180"/>
      </w:pPr>
    </w:lvl>
    <w:lvl w:ilvl="3">
      <w:start w:val="1"/>
      <w:numFmt w:val="decimal"/>
      <w:lvlText w:val="%4."/>
      <w:lvlJc w:val="left"/>
      <w:pPr>
        <w:ind w:left="2578" w:hanging="360"/>
      </w:pPr>
    </w:lvl>
    <w:lvl w:ilvl="4">
      <w:start w:val="1"/>
      <w:numFmt w:val="lowerLetter"/>
      <w:lvlText w:val="%5."/>
      <w:lvlJc w:val="left"/>
      <w:pPr>
        <w:ind w:left="3298" w:hanging="360"/>
      </w:pPr>
    </w:lvl>
    <w:lvl w:ilvl="5">
      <w:start w:val="1"/>
      <w:numFmt w:val="lowerRoman"/>
      <w:lvlText w:val="%6."/>
      <w:lvlJc w:val="right"/>
      <w:pPr>
        <w:ind w:left="4018" w:hanging="180"/>
      </w:pPr>
    </w:lvl>
    <w:lvl w:ilvl="6">
      <w:start w:val="1"/>
      <w:numFmt w:val="decimal"/>
      <w:lvlText w:val="%7."/>
      <w:lvlJc w:val="left"/>
      <w:pPr>
        <w:ind w:left="4738" w:hanging="360"/>
      </w:pPr>
    </w:lvl>
    <w:lvl w:ilvl="7">
      <w:start w:val="1"/>
      <w:numFmt w:val="lowerLetter"/>
      <w:lvlText w:val="%8."/>
      <w:lvlJc w:val="left"/>
      <w:pPr>
        <w:ind w:left="5458" w:hanging="360"/>
      </w:pPr>
    </w:lvl>
    <w:lvl w:ilvl="8">
      <w:start w:val="1"/>
      <w:numFmt w:val="lowerRoman"/>
      <w:lvlText w:val="%9."/>
      <w:lvlJc w:val="right"/>
      <w:pPr>
        <w:ind w:left="6178" w:hanging="180"/>
      </w:pPr>
    </w:lvl>
  </w:abstractNum>
  <w:abstractNum w:abstractNumId="7">
    <w:lvl w:ilvl="0">
      <w:start w:val="1"/>
      <w:numFmt w:val="decimal"/>
      <w:lvlText w:val="%1)"/>
      <w:lvlJc w:val="left"/>
      <w:pPr>
        <w:ind w:left="360" w:hanging="36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2">
      <w:start w:val="1"/>
      <w:numFmt w:val="lowerRoman"/>
      <w:lvlText w:val="%3"/>
      <w:lvlJc w:val="left"/>
      <w:pPr>
        <w:ind w:left="29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3">
      <w:start w:val="1"/>
      <w:numFmt w:val="decimal"/>
      <w:lvlText w:val="%4"/>
      <w:lvlJc w:val="left"/>
      <w:pPr>
        <w:ind w:left="37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4">
      <w:start w:val="1"/>
      <w:numFmt w:val="lowerLetter"/>
      <w:lvlText w:val="%5"/>
      <w:lvlJc w:val="left"/>
      <w:pPr>
        <w:ind w:left="443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5">
      <w:start w:val="1"/>
      <w:numFmt w:val="lowerRoman"/>
      <w:lvlText w:val="%6"/>
      <w:lvlJc w:val="left"/>
      <w:pPr>
        <w:ind w:left="515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6">
      <w:start w:val="1"/>
      <w:numFmt w:val="decimal"/>
      <w:lvlText w:val="%7"/>
      <w:lvlJc w:val="left"/>
      <w:pPr>
        <w:ind w:left="587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7">
      <w:start w:val="1"/>
      <w:numFmt w:val="lowerLetter"/>
      <w:lvlText w:val="%8"/>
      <w:lvlJc w:val="left"/>
      <w:pPr>
        <w:ind w:left="659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  <w:lvl w:ilvl="8">
      <w:start w:val="1"/>
      <w:numFmt w:val="lowerRoman"/>
      <w:lvlText w:val="%9"/>
      <w:lvlJc w:val="left"/>
      <w:pPr>
        <w:ind w:left="731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zCs w:val="24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79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sr-Latn-R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sr-Latn-RS" w:eastAsia="en-US" w:bidi="ar-SA"/>
      </w:rPr>
    </w:rPrDefault>
    <w:pPrDefault>
      <w:pPr>
        <w:spacing w:lineRule="auto" w:line="252"/>
      </w:pPr>
    </w:pPrDefault>
  </w:docDefaults>
  <w:latentStyles w:count="267" w:defQFormat="0" w:defUnhideWhenUsed="1" w:defSemiHidden="1" w:defUIPriority="99" w:defLockedState="0">
    <w:lsdException w:qFormat="1" w:semiHidden="0" w:unhideWhenUsed="0" w:uiPriority="0" w:name="Normal"/>
    <w:lsdException w:qFormat="1" w:semiHidden="0" w:unhideWhenUsed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nhideWhenUsed="0" w:uiPriority="10" w:name="Title"/>
    <w:lsdException w:uiPriority="1" w:name="Default Paragraph Font"/>
    <w:lsdException w:qFormat="1" w:semiHidden="0" w:unhideWhenUsed="0" w:uiPriority="11" w:name="Subtitle"/>
    <w:lsdException w:qFormat="1" w:semiHidden="0" w:unhideWhenUsed="0" w:uiPriority="22" w:name="Strong"/>
    <w:lsdException w:qFormat="1" w:semiHidden="0" w:unhideWhenUsed="0" w:uiPriority="20" w:name="Emphasis"/>
    <w:lsdException w:semiHidden="0" w:unhideWhenUsed="0" w:uiPriority="39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ef4d78"/>
    <w:pPr>
      <w:widowControl/>
      <w:suppressAutoHyphens w:val="true"/>
      <w:bidi w:val="0"/>
      <w:spacing w:lineRule="auto" w:line="252" w:before="0" w:after="5"/>
      <w:ind w:left="61" w:hanging="3"/>
      <w:jc w:val="both"/>
    </w:pPr>
    <w:rPr>
      <w:rFonts w:ascii="Times New Roman" w:hAnsi="Times New Roman" w:eastAsia="Times New Roman" w:cs="Times New Roman"/>
      <w:color w:val="000000"/>
      <w:sz w:val="24"/>
      <w:szCs w:val="22"/>
      <w:lang w:val="sr-Latn-RS" w:eastAsia="sr-Latn-R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ef4d78"/>
    <w:rPr>
      <w:rFonts w:ascii="Times New Roman" w:hAnsi="Times New Roman" w:eastAsia="Times New Roman" w:cs="Times New Roman"/>
      <w:color w:val="000000"/>
      <w:sz w:val="24"/>
      <w:lang w:eastAsia="sr-Latn-RS"/>
    </w:rPr>
  </w:style>
  <w:style w:type="character" w:styleId="Annotationreference">
    <w:name w:val="annotation reference"/>
    <w:basedOn w:val="DefaultParagraphFont"/>
    <w:uiPriority w:val="99"/>
    <w:semiHidden/>
    <w:unhideWhenUsed/>
    <w:rsid w:val="00ef4d78"/>
    <w:rPr>
      <w:sz w:val="16"/>
      <w:szCs w:val="16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f4d78"/>
    <w:rPr>
      <w:rFonts w:ascii="Times New Roman" w:hAnsi="Times New Roman" w:eastAsia="Times New Roman" w:cs="Times New Roman"/>
      <w:color w:val="000000"/>
      <w:sz w:val="20"/>
      <w:szCs w:val="20"/>
      <w:lang w:eastAsia="sr-Latn-R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f4d78"/>
    <w:rPr>
      <w:rFonts w:ascii="Segoe UI" w:hAnsi="Segoe UI" w:eastAsia="Times New Roman" w:cs="Segoe UI"/>
      <w:color w:val="000000"/>
      <w:sz w:val="18"/>
      <w:szCs w:val="18"/>
      <w:lang w:eastAsia="sr-Latn-RS"/>
    </w:rPr>
  </w:style>
  <w:style w:type="character" w:styleId="Markedcontent" w:customStyle="1">
    <w:name w:val="markedcontent"/>
    <w:basedOn w:val="DefaultParagraphFont"/>
    <w:rsid w:val="00ef4d78"/>
    <w:rPr/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67516"/>
    <w:rPr>
      <w:rFonts w:ascii="Times New Roman" w:hAnsi="Times New Roman" w:eastAsia="Times New Roman" w:cs="Times New Roman"/>
      <w:b/>
      <w:bCs/>
      <w:color w:val="000000"/>
      <w:sz w:val="20"/>
      <w:szCs w:val="20"/>
      <w:lang w:eastAsia="sr-Latn-RS"/>
    </w:rPr>
  </w:style>
  <w:style w:type="character" w:styleId="InternetLink">
    <w:name w:val="Internet Link"/>
    <w:basedOn w:val="DefaultParagraphFont"/>
    <w:uiPriority w:val="99"/>
    <w:unhideWhenUsed/>
    <w:rsid w:val="009d5080"/>
    <w:rPr>
      <w:color w:val="0563C1" w:themeColor="hyperlink"/>
      <w:u w:val="single"/>
      <w:lang w:val="zxx" w:eastAsia="zxx" w:bidi="zxx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character" w:styleId="ListLabel1">
    <w:name w:val="ListLabel 1"/>
    <w:rPr>
      <w:rFonts w:eastAsia="Times New Roman" w:cs="Times New Roman"/>
      <w:b w:val="false"/>
    </w:rPr>
  </w:style>
  <w:style w:type="character" w:styleId="ListLabel2">
    <w:name w:val="ListLabel 2"/>
    <w:rPr>
      <w:rFonts w:cs="Courier New"/>
    </w:rPr>
  </w:style>
  <w:style w:type="character" w:styleId="ListLabel3">
    <w:name w:val="ListLabel 3"/>
    <w:rPr>
      <w:rFonts w:eastAsia="Times New Roman" w:cs="Times New Roman"/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4">
    <w:name w:val="ListLabel 4"/>
    <w:rPr>
      <w:b w:val="false"/>
      <w:i w:val="false"/>
      <w:strike w:val="false"/>
      <w:dstrike w:val="false"/>
      <w:color w:val="000000"/>
      <w:position w:val="0"/>
      <w:sz w:val="24"/>
      <w:sz w:val="24"/>
      <w:szCs w:val="24"/>
      <w:u w:val="none" w:color="000000"/>
      <w:vertAlign w:val="baseline"/>
    </w:rPr>
  </w:style>
  <w:style w:type="character" w:styleId="ListLabel5">
    <w:name w:val="ListLabel 5"/>
    <w:rPr>
      <w:rFonts w:cs="Times New Roman"/>
      <w:b w:val="false"/>
      <w:i w:val="false"/>
      <w:strike w:val="false"/>
      <w:dstrike w:val="false"/>
      <w:color w:val="000000"/>
      <w:position w:val="0"/>
      <w:sz w:val="24"/>
      <w:sz w:val="24"/>
      <w:u w:val="none" w:color="000000"/>
      <w:vertAlign w:val="baseline"/>
    </w:rPr>
  </w:style>
  <w:style w:type="character" w:styleId="ListLabel6">
    <w:name w:val="ListLabel 6"/>
    <w:rPr>
      <w:u w:val="none"/>
    </w:rPr>
  </w:style>
  <w:style w:type="character" w:styleId="ListLabel7">
    <w:name w:val="ListLabel 7"/>
    <w:rPr>
      <w:rFonts w:eastAsia="Calibri" w:cs="Times New Roman"/>
    </w:rPr>
  </w:style>
  <w:style w:type="character" w:styleId="ListLabel8">
    <w:name w:val="ListLabel 8"/>
    <w:rPr>
      <w:rFonts w:cs="Times New Roman"/>
      <w:b w:val="false"/>
    </w:rPr>
  </w:style>
  <w:style w:type="character" w:styleId="ListLabel9">
    <w:name w:val="ListLabel 9"/>
    <w:rPr>
      <w:rFonts w:cs="Courier New"/>
    </w:rPr>
  </w:style>
  <w:style w:type="character" w:styleId="ListLabel10">
    <w:name w:val="ListLabel 10"/>
    <w:rPr>
      <w:rFonts w:cs="Wingdings"/>
    </w:rPr>
  </w:style>
  <w:style w:type="character" w:styleId="ListLabel11">
    <w:name w:val="ListLabel 11"/>
    <w:rPr>
      <w:rFonts w:cs="Symbol"/>
    </w:rPr>
  </w:style>
  <w:style w:type="character" w:styleId="ListLabel12">
    <w:name w:val="ListLabel 12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13">
    <w:name w:val="ListLabel 13"/>
    <w:rPr>
      <w:u w:val="none"/>
    </w:rPr>
  </w:style>
  <w:style w:type="character" w:styleId="ListLabel14">
    <w:name w:val="ListLabel 14"/>
    <w:rPr>
      <w:rFonts w:cs="Times New Roman"/>
      <w:b w:val="false"/>
    </w:rPr>
  </w:style>
  <w:style w:type="character" w:styleId="ListLabel15">
    <w:name w:val="ListLabel 15"/>
    <w:rPr>
      <w:rFonts w:cs="Courier New"/>
    </w:rPr>
  </w:style>
  <w:style w:type="character" w:styleId="ListLabel16">
    <w:name w:val="ListLabel 16"/>
    <w:rPr>
      <w:rFonts w:cs="Wingdings"/>
    </w:rPr>
  </w:style>
  <w:style w:type="character" w:styleId="ListLabel17">
    <w:name w:val="ListLabel 17"/>
    <w:rPr>
      <w:rFonts w:cs="Symbol"/>
    </w:rPr>
  </w:style>
  <w:style w:type="character" w:styleId="ListLabel18">
    <w:name w:val="ListLabel 18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19">
    <w:name w:val="ListLabel 19"/>
    <w:rPr>
      <w:u w:val="none"/>
    </w:rPr>
  </w:style>
  <w:style w:type="character" w:styleId="ListLabel20">
    <w:name w:val="ListLabel 20"/>
    <w:rPr>
      <w:rFonts w:cs="Times New Roman"/>
      <w:b w:val="false"/>
    </w:rPr>
  </w:style>
  <w:style w:type="character" w:styleId="ListLabel21">
    <w:name w:val="ListLabel 21"/>
    <w:rPr>
      <w:rFonts w:cs="Courier New"/>
    </w:rPr>
  </w:style>
  <w:style w:type="character" w:styleId="ListLabel22">
    <w:name w:val="ListLabel 22"/>
    <w:rPr>
      <w:rFonts w:cs="Wingdings"/>
    </w:rPr>
  </w:style>
  <w:style w:type="character" w:styleId="ListLabel23">
    <w:name w:val="ListLabel 23"/>
    <w:rPr>
      <w:rFonts w:cs="Symbol"/>
    </w:rPr>
  </w:style>
  <w:style w:type="character" w:styleId="ListLabel24">
    <w:name w:val="ListLabel 24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25">
    <w:name w:val="ListLabel 25"/>
    <w:rPr>
      <w:u w:val="none"/>
    </w:rPr>
  </w:style>
  <w:style w:type="character" w:styleId="ListLabel26">
    <w:name w:val="ListLabel 26"/>
    <w:rPr>
      <w:rFonts w:cs="Times New Roman"/>
      <w:b w:val="false"/>
    </w:rPr>
  </w:style>
  <w:style w:type="character" w:styleId="ListLabel27">
    <w:name w:val="ListLabel 27"/>
    <w:rPr>
      <w:rFonts w:cs="Courier New"/>
    </w:rPr>
  </w:style>
  <w:style w:type="character" w:styleId="ListLabel28">
    <w:name w:val="ListLabel 28"/>
    <w:rPr>
      <w:rFonts w:cs="Wingdings"/>
    </w:rPr>
  </w:style>
  <w:style w:type="character" w:styleId="ListLabel29">
    <w:name w:val="ListLabel 29"/>
    <w:rPr>
      <w:rFonts w:cs="Symbol"/>
    </w:rPr>
  </w:style>
  <w:style w:type="character" w:styleId="ListLabel30">
    <w:name w:val="ListLabel 30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31">
    <w:name w:val="ListLabel 31"/>
    <w:rPr>
      <w:u w:val="none"/>
    </w:rPr>
  </w:style>
  <w:style w:type="character" w:styleId="ListLabel32">
    <w:name w:val="ListLabel 32"/>
    <w:rPr>
      <w:rFonts w:cs="Times New Roman"/>
      <w:b w:val="false"/>
    </w:rPr>
  </w:style>
  <w:style w:type="character" w:styleId="ListLabel33">
    <w:name w:val="ListLabel 33"/>
    <w:rPr>
      <w:rFonts w:cs="Courier New"/>
    </w:rPr>
  </w:style>
  <w:style w:type="character" w:styleId="ListLabel34">
    <w:name w:val="ListLabel 34"/>
    <w:rPr>
      <w:rFonts w:cs="Wingdings"/>
    </w:rPr>
  </w:style>
  <w:style w:type="character" w:styleId="ListLabel35">
    <w:name w:val="ListLabel 35"/>
    <w:rPr>
      <w:rFonts w:cs="Symbol"/>
    </w:rPr>
  </w:style>
  <w:style w:type="character" w:styleId="ListLabel36">
    <w:name w:val="ListLabel 36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37">
    <w:name w:val="ListLabel 37"/>
    <w:rPr>
      <w:u w:val="none"/>
    </w:rPr>
  </w:style>
  <w:style w:type="character" w:styleId="ListLabel38">
    <w:name w:val="ListLabel 38"/>
    <w:rPr>
      <w:rFonts w:cs="Times New Roman"/>
      <w:b w:val="false"/>
    </w:rPr>
  </w:style>
  <w:style w:type="character" w:styleId="ListLabel39">
    <w:name w:val="ListLabel 39"/>
    <w:rPr>
      <w:rFonts w:cs="Courier New"/>
    </w:rPr>
  </w:style>
  <w:style w:type="character" w:styleId="ListLabel40">
    <w:name w:val="ListLabel 40"/>
    <w:rPr>
      <w:rFonts w:cs="Wingdings"/>
    </w:rPr>
  </w:style>
  <w:style w:type="character" w:styleId="ListLabel41">
    <w:name w:val="ListLabel 41"/>
    <w:rPr>
      <w:rFonts w:cs="Symbol"/>
    </w:rPr>
  </w:style>
  <w:style w:type="character" w:styleId="ListLabel42">
    <w:name w:val="ListLabel 42"/>
    <w:rPr>
      <w:b w:val="false"/>
      <w:i w:val="false"/>
      <w:strike w:val="false"/>
      <w:dstrike w:val="false"/>
      <w:position w:val="0"/>
      <w:sz w:val="24"/>
      <w:sz w:val="24"/>
      <w:szCs w:val="24"/>
      <w:u w:val="none" w:color="000000"/>
      <w:vertAlign w:val="baseline"/>
    </w:rPr>
  </w:style>
  <w:style w:type="character" w:styleId="ListLabel43">
    <w:name w:val="ListLabel 43"/>
    <w:rPr>
      <w:u w:val="non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Lucida Sans"/>
    </w:rPr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spacing w:before="0" w:after="5"/>
      <w:ind w:left="720" w:hanging="3"/>
      <w:contextualSpacing/>
    </w:pPr>
    <w:rPr/>
  </w:style>
  <w:style w:type="paragraph" w:styleId="Annotationtext">
    <w:name w:val="annotation text"/>
    <w:basedOn w:val="Normal"/>
    <w:link w:val="CommentTextChar"/>
    <w:uiPriority w:val="99"/>
    <w:unhideWhenUsed/>
    <w:rsid w:val="00ef4d78"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d7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link w:val="CommentSubjectChar"/>
    <w:uiPriority w:val="99"/>
    <w:semiHidden/>
    <w:unhideWhenUsed/>
    <w:rsid w:val="00167516"/>
    <w:pPr/>
    <w:rPr>
      <w:b/>
      <w:bCs/>
    </w:rPr>
  </w:style>
  <w:style w:type="paragraph" w:styleId="NoSpacing">
    <w:name w:val="No Spacing"/>
    <w:uiPriority w:val="1"/>
    <w:qFormat/>
    <w:rsid w:val="002b0e5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4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25938</TotalTime>
  <Application>LibreOffice/4.3.0.4$Windows_x86 LibreOffice_project/62ad5818884a2fc2e5780dd45466868d41009ec0</Application>
  <Paragraphs>123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2022-11-22T06:17:00Z</dcterms:created>
  <dc:creator>Natalija Naerlović</dc:creator>
  <dc:language>sr-BA</dc:language>
  <cp:lastPrinted>2022-11-28T08:10:09Z</cp:lastPrinted>
  <dcterms:modified xsi:type="dcterms:W3CDTF">2022-11-28T08:30:33Z</dcterms:modified>
  <cp:revision>152</cp:revision>
</cp:coreProperties>
</file>